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8E" w:rsidRPr="00DC7730" w:rsidRDefault="00E3688E" w:rsidP="00E3688E">
      <w:pPr>
        <w:jc w:val="center"/>
        <w:rPr>
          <w:b/>
          <w:spacing w:val="20"/>
          <w:sz w:val="26"/>
          <w:szCs w:val="26"/>
        </w:rPr>
      </w:pPr>
      <w:r w:rsidRPr="00DC7730">
        <w:rPr>
          <w:b/>
          <w:spacing w:val="20"/>
          <w:sz w:val="26"/>
          <w:szCs w:val="26"/>
        </w:rPr>
        <w:t>КОНТРОЛЬНО-СЧЁТНАЯ ПАЛАТА ГОРОД</w:t>
      </w:r>
      <w:bookmarkStart w:id="0" w:name="_GoBack"/>
      <w:bookmarkEnd w:id="0"/>
      <w:r w:rsidRPr="00DC7730">
        <w:rPr>
          <w:b/>
          <w:spacing w:val="20"/>
          <w:sz w:val="26"/>
          <w:szCs w:val="26"/>
        </w:rPr>
        <w:t>А ВОЛОГДЫ</w:t>
      </w:r>
    </w:p>
    <w:p w:rsidR="00E3688E" w:rsidRPr="00DC7730" w:rsidRDefault="00E3688E" w:rsidP="00E3688E">
      <w:pPr>
        <w:jc w:val="center"/>
        <w:rPr>
          <w:b/>
          <w:sz w:val="26"/>
          <w:szCs w:val="26"/>
        </w:rPr>
      </w:pPr>
    </w:p>
    <w:p w:rsidR="00E3688E" w:rsidRPr="00DC7730" w:rsidRDefault="00E3688E" w:rsidP="00E3688E">
      <w:pPr>
        <w:jc w:val="both"/>
        <w:rPr>
          <w:sz w:val="16"/>
          <w:szCs w:val="16"/>
        </w:rPr>
      </w:pPr>
      <w:r w:rsidRPr="00DC7730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E3688E" w:rsidRPr="00DC7730" w:rsidRDefault="00E3688E" w:rsidP="00E3688E">
      <w:pPr>
        <w:jc w:val="both"/>
        <w:rPr>
          <w:sz w:val="16"/>
          <w:szCs w:val="16"/>
        </w:rPr>
      </w:pPr>
      <w:r w:rsidRPr="00DC7730">
        <w:rPr>
          <w:sz w:val="16"/>
          <w:szCs w:val="16"/>
        </w:rPr>
        <w:t xml:space="preserve">            г. Вологда, 160000                                                                             </w:t>
      </w:r>
    </w:p>
    <w:p w:rsidR="00E3688E" w:rsidRPr="00DC7730" w:rsidRDefault="00E3688E" w:rsidP="00E3688E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C7730" w:rsidRPr="00DC7730" w:rsidTr="003B21F8">
        <w:trPr>
          <w:trHeight w:val="41"/>
        </w:trPr>
        <w:tc>
          <w:tcPr>
            <w:tcW w:w="9643" w:type="dxa"/>
          </w:tcPr>
          <w:p w:rsidR="00E3688E" w:rsidRPr="00DC7730" w:rsidRDefault="00E3688E" w:rsidP="003B21F8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7E257F" w:rsidRDefault="007E257F" w:rsidP="00E3688E">
      <w:pPr>
        <w:ind w:left="5130"/>
        <w:rPr>
          <w:sz w:val="26"/>
          <w:szCs w:val="26"/>
        </w:rPr>
      </w:pPr>
    </w:p>
    <w:p w:rsidR="00E3688E" w:rsidRPr="00DC7730" w:rsidRDefault="00E3688E" w:rsidP="00E3688E">
      <w:pPr>
        <w:ind w:left="5130"/>
        <w:rPr>
          <w:sz w:val="26"/>
          <w:szCs w:val="26"/>
        </w:rPr>
      </w:pPr>
      <w:r w:rsidRPr="00DC7730">
        <w:rPr>
          <w:sz w:val="26"/>
          <w:szCs w:val="26"/>
        </w:rPr>
        <w:t>УТВЕРЖДАЮ</w:t>
      </w:r>
    </w:p>
    <w:p w:rsidR="00C56F66" w:rsidRPr="00DC7730" w:rsidRDefault="000B5E90" w:rsidP="00E3688E">
      <w:pPr>
        <w:ind w:left="5130"/>
        <w:rPr>
          <w:sz w:val="26"/>
          <w:szCs w:val="26"/>
        </w:rPr>
      </w:pPr>
      <w:r w:rsidRPr="00DC7730">
        <w:rPr>
          <w:sz w:val="26"/>
          <w:szCs w:val="26"/>
        </w:rPr>
        <w:t>И.</w:t>
      </w:r>
      <w:r w:rsidR="006C29A0" w:rsidRPr="00DC7730">
        <w:rPr>
          <w:sz w:val="26"/>
          <w:szCs w:val="26"/>
          <w:lang w:val="en-US"/>
        </w:rPr>
        <w:t xml:space="preserve"> </w:t>
      </w:r>
      <w:r w:rsidRPr="00DC7730">
        <w:rPr>
          <w:sz w:val="26"/>
          <w:szCs w:val="26"/>
        </w:rPr>
        <w:t xml:space="preserve">о. </w:t>
      </w:r>
      <w:r w:rsidR="00E3688E" w:rsidRPr="00DC7730">
        <w:rPr>
          <w:sz w:val="26"/>
          <w:szCs w:val="26"/>
        </w:rPr>
        <w:t>Председател</w:t>
      </w:r>
      <w:r w:rsidRPr="00DC7730">
        <w:rPr>
          <w:sz w:val="26"/>
          <w:szCs w:val="26"/>
        </w:rPr>
        <w:t>я - заместитель</w:t>
      </w:r>
    </w:p>
    <w:p w:rsidR="00E3688E" w:rsidRPr="00DC7730" w:rsidRDefault="000B5E90" w:rsidP="00E3688E">
      <w:pPr>
        <w:ind w:left="5130"/>
        <w:rPr>
          <w:sz w:val="26"/>
          <w:szCs w:val="26"/>
        </w:rPr>
      </w:pPr>
      <w:r w:rsidRPr="00DC7730">
        <w:rPr>
          <w:sz w:val="26"/>
          <w:szCs w:val="26"/>
        </w:rPr>
        <w:t xml:space="preserve">Председателя </w:t>
      </w:r>
      <w:r w:rsidR="00E3688E" w:rsidRPr="00DC7730">
        <w:rPr>
          <w:sz w:val="26"/>
          <w:szCs w:val="26"/>
        </w:rPr>
        <w:t xml:space="preserve">Контрольно-счетной палаты </w:t>
      </w:r>
    </w:p>
    <w:p w:rsidR="0080421F" w:rsidRPr="00DC7730" w:rsidRDefault="0080421F" w:rsidP="00E3688E">
      <w:pPr>
        <w:ind w:left="5130"/>
        <w:rPr>
          <w:sz w:val="26"/>
          <w:szCs w:val="26"/>
        </w:rPr>
      </w:pPr>
      <w:r w:rsidRPr="00DC7730">
        <w:rPr>
          <w:sz w:val="26"/>
          <w:szCs w:val="26"/>
        </w:rPr>
        <w:t>города Вологды</w:t>
      </w:r>
    </w:p>
    <w:p w:rsidR="00E3688E" w:rsidRPr="00DC7730" w:rsidRDefault="00E3688E" w:rsidP="00E3688E">
      <w:pPr>
        <w:jc w:val="center"/>
        <w:rPr>
          <w:sz w:val="26"/>
          <w:szCs w:val="26"/>
        </w:rPr>
      </w:pPr>
    </w:p>
    <w:p w:rsidR="00404FEB" w:rsidRPr="00DC7730" w:rsidRDefault="008D65C3" w:rsidP="00E2655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DC7730">
        <w:rPr>
          <w:b/>
          <w:bCs/>
          <w:sz w:val="26"/>
          <w:szCs w:val="26"/>
        </w:rPr>
        <w:t>ЗАКЛЮЧЕНИЕ</w:t>
      </w:r>
    </w:p>
    <w:p w:rsidR="00A65809" w:rsidRPr="00DC7730" w:rsidRDefault="008D65C3" w:rsidP="00E2655F">
      <w:pPr>
        <w:spacing w:line="276" w:lineRule="auto"/>
        <w:jc w:val="center"/>
        <w:rPr>
          <w:b/>
          <w:bCs/>
          <w:sz w:val="26"/>
          <w:szCs w:val="26"/>
        </w:rPr>
      </w:pPr>
      <w:r w:rsidRPr="00DC7730">
        <w:rPr>
          <w:b/>
          <w:bCs/>
          <w:sz w:val="26"/>
          <w:szCs w:val="26"/>
        </w:rPr>
        <w:t xml:space="preserve">на отчет об исполнении бюджета города Вологды </w:t>
      </w:r>
    </w:p>
    <w:p w:rsidR="008D65C3" w:rsidRPr="00DC7730" w:rsidRDefault="008D65C3" w:rsidP="00E2655F">
      <w:pPr>
        <w:spacing w:line="276" w:lineRule="auto"/>
        <w:jc w:val="center"/>
        <w:rPr>
          <w:b/>
          <w:bCs/>
          <w:sz w:val="26"/>
          <w:szCs w:val="26"/>
        </w:rPr>
      </w:pPr>
      <w:r w:rsidRPr="00DC7730">
        <w:rPr>
          <w:b/>
          <w:bCs/>
          <w:sz w:val="26"/>
          <w:szCs w:val="26"/>
        </w:rPr>
        <w:t xml:space="preserve">за </w:t>
      </w:r>
      <w:r w:rsidR="00A7356B" w:rsidRPr="00DC7730">
        <w:rPr>
          <w:b/>
          <w:bCs/>
          <w:sz w:val="26"/>
          <w:szCs w:val="26"/>
        </w:rPr>
        <w:t>девять месяцев</w:t>
      </w:r>
      <w:r w:rsidR="0080421F" w:rsidRPr="00DC7730">
        <w:rPr>
          <w:b/>
          <w:bCs/>
          <w:sz w:val="26"/>
          <w:szCs w:val="26"/>
        </w:rPr>
        <w:t xml:space="preserve"> 2015</w:t>
      </w:r>
      <w:r w:rsidRPr="00DC7730">
        <w:rPr>
          <w:b/>
          <w:bCs/>
          <w:sz w:val="26"/>
          <w:szCs w:val="26"/>
        </w:rPr>
        <w:t xml:space="preserve"> года</w:t>
      </w:r>
    </w:p>
    <w:p w:rsidR="00E3688E" w:rsidRPr="00DC7730" w:rsidRDefault="00E3688E" w:rsidP="00E2655F">
      <w:pPr>
        <w:spacing w:line="276" w:lineRule="auto"/>
        <w:rPr>
          <w:sz w:val="26"/>
          <w:szCs w:val="26"/>
        </w:rPr>
      </w:pPr>
    </w:p>
    <w:p w:rsidR="00E3688E" w:rsidRPr="00DC7730" w:rsidRDefault="00E3688E" w:rsidP="00E2655F">
      <w:pPr>
        <w:spacing w:line="276" w:lineRule="auto"/>
        <w:rPr>
          <w:sz w:val="26"/>
          <w:szCs w:val="26"/>
        </w:rPr>
      </w:pPr>
      <w:r w:rsidRPr="00DC7730">
        <w:rPr>
          <w:sz w:val="26"/>
          <w:szCs w:val="26"/>
        </w:rPr>
        <w:sym w:font="Symbol" w:char="F0B2"/>
      </w:r>
      <w:r w:rsidR="00B55A3F" w:rsidRPr="00DC7730">
        <w:rPr>
          <w:sz w:val="26"/>
          <w:szCs w:val="26"/>
        </w:rPr>
        <w:t>10</w:t>
      </w:r>
      <w:r w:rsidRPr="00DC7730">
        <w:rPr>
          <w:sz w:val="26"/>
          <w:szCs w:val="26"/>
        </w:rPr>
        <w:sym w:font="Symbol" w:char="F0B2"/>
      </w:r>
      <w:r w:rsidR="0080421F" w:rsidRPr="00DC7730">
        <w:rPr>
          <w:sz w:val="26"/>
          <w:szCs w:val="26"/>
        </w:rPr>
        <w:t xml:space="preserve"> </w:t>
      </w:r>
      <w:r w:rsidR="00A7356B" w:rsidRPr="00DC7730">
        <w:rPr>
          <w:sz w:val="26"/>
          <w:szCs w:val="26"/>
        </w:rPr>
        <w:t>ноября</w:t>
      </w:r>
      <w:r w:rsidR="0007205E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>201</w:t>
      </w:r>
      <w:r w:rsidR="0080421F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года                       </w:t>
      </w:r>
      <w:r w:rsidR="0007205E" w:rsidRPr="00DC7730">
        <w:rPr>
          <w:sz w:val="26"/>
          <w:szCs w:val="26"/>
        </w:rPr>
        <w:t xml:space="preserve">      </w:t>
      </w:r>
      <w:r w:rsidR="006C29A0" w:rsidRPr="00DC7730">
        <w:rPr>
          <w:sz w:val="26"/>
          <w:szCs w:val="26"/>
          <w:lang w:val="en-US"/>
        </w:rPr>
        <w:t xml:space="preserve">       </w:t>
      </w:r>
      <w:r w:rsidR="0007205E" w:rsidRPr="00DC7730">
        <w:rPr>
          <w:sz w:val="26"/>
          <w:szCs w:val="26"/>
        </w:rPr>
        <w:t xml:space="preserve">                    </w:t>
      </w:r>
      <w:r w:rsidRPr="00DC7730">
        <w:rPr>
          <w:sz w:val="26"/>
          <w:szCs w:val="26"/>
        </w:rPr>
        <w:t xml:space="preserve">                               </w:t>
      </w:r>
      <w:r w:rsidR="0080421F" w:rsidRPr="00DC7730">
        <w:rPr>
          <w:sz w:val="26"/>
          <w:szCs w:val="26"/>
        </w:rPr>
        <w:t xml:space="preserve">      </w:t>
      </w:r>
      <w:r w:rsidRPr="00DC7730">
        <w:rPr>
          <w:sz w:val="26"/>
          <w:szCs w:val="26"/>
        </w:rPr>
        <w:t xml:space="preserve">    </w:t>
      </w:r>
      <w:r w:rsidR="0080421F" w:rsidRPr="00DC7730">
        <w:rPr>
          <w:sz w:val="26"/>
          <w:szCs w:val="26"/>
        </w:rPr>
        <w:t xml:space="preserve">    </w:t>
      </w:r>
      <w:r w:rsidRPr="00DC7730">
        <w:rPr>
          <w:sz w:val="26"/>
          <w:szCs w:val="26"/>
        </w:rPr>
        <w:t xml:space="preserve">          №</w:t>
      </w:r>
      <w:r w:rsidR="00CE53A4" w:rsidRPr="00DC7730">
        <w:rPr>
          <w:sz w:val="26"/>
          <w:szCs w:val="26"/>
        </w:rPr>
        <w:t>1</w:t>
      </w:r>
      <w:r w:rsidR="00A7356B" w:rsidRPr="00DC7730">
        <w:rPr>
          <w:sz w:val="26"/>
          <w:szCs w:val="26"/>
        </w:rPr>
        <w:t>7</w:t>
      </w:r>
    </w:p>
    <w:p w:rsidR="00324654" w:rsidRPr="00DC7730" w:rsidRDefault="00324654" w:rsidP="00E2655F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404FEB" w:rsidRPr="00DC7730" w:rsidRDefault="00404FEB" w:rsidP="00E2655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В соответствии с пунктом 8 Положения о Контрольно-счетной палате города Вологды, утвержденного решением Вологодской городской Думы от 29.09.2011 №759, </w:t>
      </w:r>
      <w:r w:rsidR="00AB1864" w:rsidRPr="00DC7730">
        <w:rPr>
          <w:sz w:val="26"/>
          <w:szCs w:val="26"/>
        </w:rPr>
        <w:t xml:space="preserve">поручением Вологодской городской Думы </w:t>
      </w:r>
      <w:r w:rsidR="006110ED" w:rsidRPr="00DC7730">
        <w:rPr>
          <w:sz w:val="26"/>
          <w:szCs w:val="26"/>
        </w:rPr>
        <w:t xml:space="preserve">от </w:t>
      </w:r>
      <w:r w:rsidR="00EA22EF" w:rsidRPr="00DC7730">
        <w:rPr>
          <w:sz w:val="26"/>
          <w:szCs w:val="26"/>
        </w:rPr>
        <w:t>0</w:t>
      </w:r>
      <w:r w:rsidR="00B55A3F" w:rsidRPr="00DC7730">
        <w:rPr>
          <w:sz w:val="26"/>
          <w:szCs w:val="26"/>
        </w:rPr>
        <w:t>5</w:t>
      </w:r>
      <w:r w:rsidR="006110ED" w:rsidRPr="00DC7730">
        <w:rPr>
          <w:sz w:val="26"/>
          <w:szCs w:val="26"/>
        </w:rPr>
        <w:t>.</w:t>
      </w:r>
      <w:r w:rsidR="00B55A3F" w:rsidRPr="00DC7730">
        <w:rPr>
          <w:sz w:val="26"/>
          <w:szCs w:val="26"/>
        </w:rPr>
        <w:t>11</w:t>
      </w:r>
      <w:r w:rsidR="006110ED" w:rsidRPr="00DC7730">
        <w:rPr>
          <w:sz w:val="26"/>
          <w:szCs w:val="26"/>
        </w:rPr>
        <w:t>.201</w:t>
      </w:r>
      <w:r w:rsidR="002B622E" w:rsidRPr="00DC7730">
        <w:rPr>
          <w:sz w:val="26"/>
          <w:szCs w:val="26"/>
        </w:rPr>
        <w:t>5</w:t>
      </w:r>
      <w:r w:rsidR="006110ED" w:rsidRPr="00DC7730">
        <w:rPr>
          <w:sz w:val="26"/>
          <w:szCs w:val="26"/>
        </w:rPr>
        <w:t xml:space="preserve"> №0</w:t>
      </w:r>
      <w:r w:rsidR="002B622E" w:rsidRPr="00DC7730">
        <w:rPr>
          <w:sz w:val="26"/>
          <w:szCs w:val="26"/>
        </w:rPr>
        <w:t>4</w:t>
      </w:r>
      <w:r w:rsidR="006110ED" w:rsidRPr="00DC7730">
        <w:rPr>
          <w:sz w:val="26"/>
          <w:szCs w:val="26"/>
        </w:rPr>
        <w:t>-</w:t>
      </w:r>
      <w:r w:rsidR="002B622E" w:rsidRPr="00DC7730">
        <w:rPr>
          <w:sz w:val="26"/>
          <w:szCs w:val="26"/>
        </w:rPr>
        <w:t>09</w:t>
      </w:r>
      <w:r w:rsidR="006110ED" w:rsidRPr="00DC7730">
        <w:rPr>
          <w:sz w:val="26"/>
          <w:szCs w:val="26"/>
        </w:rPr>
        <w:t>/</w:t>
      </w:r>
      <w:r w:rsidR="00B55A3F" w:rsidRPr="00DC7730">
        <w:rPr>
          <w:sz w:val="26"/>
          <w:szCs w:val="26"/>
        </w:rPr>
        <w:t>233</w:t>
      </w:r>
      <w:r w:rsidR="0024004C" w:rsidRPr="00DC7730">
        <w:rPr>
          <w:sz w:val="26"/>
          <w:szCs w:val="26"/>
        </w:rPr>
        <w:t>-1</w:t>
      </w:r>
      <w:r w:rsidR="002B622E" w:rsidRPr="00DC7730">
        <w:rPr>
          <w:sz w:val="26"/>
          <w:szCs w:val="26"/>
        </w:rPr>
        <w:t>5</w:t>
      </w:r>
      <w:r w:rsidR="006110ED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>Контрольно-счетной палатой проведен анализ исполнени</w:t>
      </w:r>
      <w:r w:rsidR="00590404" w:rsidRPr="00DC7730">
        <w:rPr>
          <w:sz w:val="26"/>
          <w:szCs w:val="26"/>
        </w:rPr>
        <w:t>я</w:t>
      </w:r>
      <w:r w:rsidRPr="00DC7730">
        <w:rPr>
          <w:sz w:val="26"/>
          <w:szCs w:val="26"/>
        </w:rPr>
        <w:t xml:space="preserve"> бюджета города Вологды за </w:t>
      </w:r>
      <w:r w:rsidR="00107D3F" w:rsidRPr="00DC7730">
        <w:rPr>
          <w:sz w:val="26"/>
          <w:szCs w:val="26"/>
        </w:rPr>
        <w:t>девять месяцев</w:t>
      </w:r>
      <w:r w:rsidRPr="00DC7730">
        <w:rPr>
          <w:sz w:val="26"/>
          <w:szCs w:val="26"/>
        </w:rPr>
        <w:t xml:space="preserve"> 201</w:t>
      </w:r>
      <w:r w:rsidR="002B622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года</w:t>
      </w:r>
      <w:r w:rsidR="00590404" w:rsidRPr="00DC7730">
        <w:rPr>
          <w:sz w:val="26"/>
          <w:szCs w:val="26"/>
        </w:rPr>
        <w:t xml:space="preserve"> на основании Отчета</w:t>
      </w:r>
      <w:r w:rsidRPr="00DC7730">
        <w:rPr>
          <w:sz w:val="26"/>
          <w:szCs w:val="26"/>
        </w:rPr>
        <w:t xml:space="preserve"> об исполнении бюджета города Вологды за </w:t>
      </w:r>
      <w:r w:rsidR="00107D3F" w:rsidRPr="00DC7730">
        <w:rPr>
          <w:sz w:val="26"/>
          <w:szCs w:val="26"/>
        </w:rPr>
        <w:t xml:space="preserve">девять месяцев </w:t>
      </w:r>
      <w:r w:rsidRPr="00DC7730">
        <w:rPr>
          <w:sz w:val="26"/>
          <w:szCs w:val="26"/>
        </w:rPr>
        <w:t>201</w:t>
      </w:r>
      <w:r w:rsidR="002B622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года</w:t>
      </w:r>
      <w:r w:rsidR="004A1E58" w:rsidRPr="00DC7730">
        <w:rPr>
          <w:sz w:val="26"/>
          <w:szCs w:val="26"/>
        </w:rPr>
        <w:t>,</w:t>
      </w:r>
      <w:r w:rsidRPr="00DC7730">
        <w:rPr>
          <w:sz w:val="26"/>
          <w:szCs w:val="26"/>
        </w:rPr>
        <w:t xml:space="preserve"> утвержден</w:t>
      </w:r>
      <w:r w:rsidR="004A1E58" w:rsidRPr="00DC7730">
        <w:rPr>
          <w:sz w:val="26"/>
          <w:szCs w:val="26"/>
        </w:rPr>
        <w:t>ного</w:t>
      </w:r>
      <w:r w:rsidRPr="00DC7730">
        <w:rPr>
          <w:sz w:val="26"/>
          <w:szCs w:val="26"/>
        </w:rPr>
        <w:t xml:space="preserve"> постановлением Администрации города </w:t>
      </w:r>
      <w:r w:rsidR="002B622E" w:rsidRPr="00DC7730">
        <w:rPr>
          <w:sz w:val="26"/>
          <w:szCs w:val="26"/>
        </w:rPr>
        <w:t xml:space="preserve">Вологды </w:t>
      </w:r>
      <w:r w:rsidRPr="00DC7730">
        <w:rPr>
          <w:sz w:val="26"/>
          <w:szCs w:val="26"/>
        </w:rPr>
        <w:t xml:space="preserve">от </w:t>
      </w:r>
      <w:r w:rsidR="00107D3F" w:rsidRPr="00DC7730">
        <w:rPr>
          <w:sz w:val="26"/>
          <w:szCs w:val="26"/>
        </w:rPr>
        <w:t>30</w:t>
      </w:r>
      <w:r w:rsidRPr="00DC7730">
        <w:rPr>
          <w:sz w:val="26"/>
          <w:szCs w:val="26"/>
        </w:rPr>
        <w:t>.</w:t>
      </w:r>
      <w:r w:rsidR="00107D3F" w:rsidRPr="00DC7730">
        <w:rPr>
          <w:sz w:val="26"/>
          <w:szCs w:val="26"/>
        </w:rPr>
        <w:t>1</w:t>
      </w:r>
      <w:r w:rsidR="002B622E" w:rsidRPr="00DC7730">
        <w:rPr>
          <w:sz w:val="26"/>
          <w:szCs w:val="26"/>
        </w:rPr>
        <w:t>0</w:t>
      </w:r>
      <w:r w:rsidRPr="00DC7730">
        <w:rPr>
          <w:sz w:val="26"/>
          <w:szCs w:val="26"/>
        </w:rPr>
        <w:t>.201</w:t>
      </w:r>
      <w:r w:rsidR="002B622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№</w:t>
      </w:r>
      <w:r w:rsidR="00107D3F" w:rsidRPr="00DC7730">
        <w:rPr>
          <w:sz w:val="26"/>
          <w:szCs w:val="26"/>
        </w:rPr>
        <w:t>8303</w:t>
      </w:r>
      <w:r w:rsidR="004A1E58" w:rsidRPr="00DC7730">
        <w:rPr>
          <w:sz w:val="26"/>
          <w:szCs w:val="26"/>
        </w:rPr>
        <w:t>,</w:t>
      </w:r>
      <w:r w:rsidRPr="00DC7730">
        <w:rPr>
          <w:sz w:val="26"/>
          <w:szCs w:val="26"/>
        </w:rPr>
        <w:t xml:space="preserve"> и представлен</w:t>
      </w:r>
      <w:r w:rsidR="004A1E58" w:rsidRPr="00DC7730">
        <w:rPr>
          <w:sz w:val="26"/>
          <w:szCs w:val="26"/>
        </w:rPr>
        <w:t>ных</w:t>
      </w:r>
      <w:r w:rsidR="00B43538" w:rsidRPr="00DC7730">
        <w:rPr>
          <w:sz w:val="26"/>
          <w:szCs w:val="26"/>
        </w:rPr>
        <w:t xml:space="preserve"> </w:t>
      </w:r>
      <w:r w:rsidR="00207142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>одновременно с ним документов, предусмотренных пунктом 39 Положения о бюджетном процессе в городе Вологде</w:t>
      </w:r>
      <w:r w:rsidR="00040B81" w:rsidRPr="00DC7730">
        <w:rPr>
          <w:sz w:val="26"/>
          <w:szCs w:val="26"/>
        </w:rPr>
        <w:t>, утвержденного решением Вологодской городской Думы от 23.06.2006 №108</w:t>
      </w:r>
      <w:r w:rsidR="00F7423F" w:rsidRPr="00DC7730">
        <w:rPr>
          <w:sz w:val="26"/>
          <w:szCs w:val="26"/>
        </w:rPr>
        <w:t xml:space="preserve"> (в редакции от 29.12.2014)</w:t>
      </w:r>
      <w:r w:rsidRPr="00DC7730">
        <w:rPr>
          <w:sz w:val="26"/>
          <w:szCs w:val="26"/>
        </w:rPr>
        <w:t xml:space="preserve">. </w:t>
      </w:r>
    </w:p>
    <w:p w:rsidR="00F766CE" w:rsidRPr="00DC7730" w:rsidRDefault="00404FEB" w:rsidP="00E2655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 w:rsidRPr="00DC7730">
        <w:rPr>
          <w:sz w:val="26"/>
          <w:szCs w:val="26"/>
        </w:rPr>
        <w:t xml:space="preserve">В течение </w:t>
      </w:r>
      <w:r w:rsidR="00F7423F" w:rsidRPr="00DC7730">
        <w:rPr>
          <w:sz w:val="26"/>
          <w:szCs w:val="26"/>
        </w:rPr>
        <w:t>девяти месяцев</w:t>
      </w:r>
      <w:r w:rsidRPr="00DC7730">
        <w:rPr>
          <w:sz w:val="26"/>
          <w:szCs w:val="26"/>
        </w:rPr>
        <w:t xml:space="preserve"> 201</w:t>
      </w:r>
      <w:r w:rsidR="002B622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года в решение Вологодс</w:t>
      </w:r>
      <w:r w:rsidR="00DD7284" w:rsidRPr="00DC7730">
        <w:rPr>
          <w:sz w:val="26"/>
          <w:szCs w:val="26"/>
        </w:rPr>
        <w:t xml:space="preserve">кой городской Думы от </w:t>
      </w:r>
      <w:r w:rsidR="002B622E" w:rsidRPr="00DC7730">
        <w:rPr>
          <w:sz w:val="26"/>
          <w:szCs w:val="26"/>
        </w:rPr>
        <w:t>2</w:t>
      </w:r>
      <w:r w:rsidR="007C62CC" w:rsidRPr="00DC7730">
        <w:rPr>
          <w:sz w:val="26"/>
          <w:szCs w:val="26"/>
        </w:rPr>
        <w:t>9</w:t>
      </w:r>
      <w:r w:rsidR="00DD7284" w:rsidRPr="00DC7730">
        <w:rPr>
          <w:sz w:val="26"/>
          <w:szCs w:val="26"/>
        </w:rPr>
        <w:t>.12.201</w:t>
      </w:r>
      <w:r w:rsidR="002B622E" w:rsidRPr="00DC7730">
        <w:rPr>
          <w:sz w:val="26"/>
          <w:szCs w:val="26"/>
        </w:rPr>
        <w:t>4</w:t>
      </w:r>
      <w:r w:rsidRPr="00DC7730">
        <w:rPr>
          <w:sz w:val="26"/>
          <w:szCs w:val="26"/>
        </w:rPr>
        <w:t xml:space="preserve"> №1</w:t>
      </w:r>
      <w:r w:rsidR="002B622E" w:rsidRPr="00DC7730">
        <w:rPr>
          <w:sz w:val="26"/>
          <w:szCs w:val="26"/>
        </w:rPr>
        <w:t>25</w:t>
      </w:r>
      <w:r w:rsidRPr="00DC7730">
        <w:rPr>
          <w:sz w:val="26"/>
          <w:szCs w:val="26"/>
        </w:rPr>
        <w:t xml:space="preserve"> «О </w:t>
      </w:r>
      <w:r w:rsidR="002B622E" w:rsidRPr="00DC7730">
        <w:rPr>
          <w:sz w:val="26"/>
          <w:szCs w:val="26"/>
        </w:rPr>
        <w:t>Б</w:t>
      </w:r>
      <w:r w:rsidRPr="00DC7730">
        <w:rPr>
          <w:sz w:val="26"/>
          <w:szCs w:val="26"/>
        </w:rPr>
        <w:t>юджете города Вологды на 201</w:t>
      </w:r>
      <w:r w:rsidR="002B622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год и плановый период 201</w:t>
      </w:r>
      <w:r w:rsidR="002B622E" w:rsidRPr="00DC7730">
        <w:rPr>
          <w:sz w:val="26"/>
          <w:szCs w:val="26"/>
        </w:rPr>
        <w:t>6</w:t>
      </w:r>
      <w:r w:rsidRPr="00DC7730">
        <w:rPr>
          <w:sz w:val="26"/>
          <w:szCs w:val="26"/>
        </w:rPr>
        <w:t xml:space="preserve"> и 201</w:t>
      </w:r>
      <w:r w:rsidR="002B622E" w:rsidRPr="00DC7730">
        <w:rPr>
          <w:sz w:val="26"/>
          <w:szCs w:val="26"/>
        </w:rPr>
        <w:t>7</w:t>
      </w:r>
      <w:r w:rsidRPr="00DC7730">
        <w:rPr>
          <w:sz w:val="26"/>
          <w:szCs w:val="26"/>
        </w:rPr>
        <w:t xml:space="preserve"> годов» вн</w:t>
      </w:r>
      <w:r w:rsidR="00AD333F" w:rsidRPr="00DC7730">
        <w:rPr>
          <w:sz w:val="26"/>
          <w:szCs w:val="26"/>
        </w:rPr>
        <w:t xml:space="preserve">осились изменения </w:t>
      </w:r>
      <w:r w:rsidR="00C776A3" w:rsidRPr="00DC7730">
        <w:rPr>
          <w:sz w:val="26"/>
          <w:szCs w:val="26"/>
        </w:rPr>
        <w:t>шесть</w:t>
      </w:r>
      <w:r w:rsidR="001B1E48" w:rsidRPr="00DC7730">
        <w:rPr>
          <w:sz w:val="26"/>
          <w:szCs w:val="26"/>
        </w:rPr>
        <w:t xml:space="preserve"> </w:t>
      </w:r>
      <w:r w:rsidR="00AD333F" w:rsidRPr="00DC7730">
        <w:rPr>
          <w:sz w:val="26"/>
          <w:szCs w:val="26"/>
        </w:rPr>
        <w:t>раз</w:t>
      </w:r>
      <w:r w:rsidRPr="00DC7730">
        <w:rPr>
          <w:sz w:val="26"/>
          <w:szCs w:val="26"/>
        </w:rPr>
        <w:t>, в результате котор</w:t>
      </w:r>
      <w:r w:rsidR="001D3D77" w:rsidRPr="00DC7730">
        <w:rPr>
          <w:sz w:val="26"/>
          <w:szCs w:val="26"/>
        </w:rPr>
        <w:t>ых</w:t>
      </w:r>
      <w:r w:rsidRPr="00DC7730">
        <w:rPr>
          <w:sz w:val="26"/>
          <w:szCs w:val="26"/>
        </w:rPr>
        <w:t xml:space="preserve"> увеличены бюджетные назначения по доходам на </w:t>
      </w:r>
      <w:r w:rsidR="00C776A3" w:rsidRPr="00DC7730">
        <w:rPr>
          <w:sz w:val="26"/>
          <w:szCs w:val="26"/>
        </w:rPr>
        <w:t>1076,7</w:t>
      </w:r>
      <w:r w:rsidR="002B622E" w:rsidRPr="00DC7730">
        <w:rPr>
          <w:bCs/>
          <w:iCs/>
          <w:sz w:val="26"/>
          <w:szCs w:val="26"/>
        </w:rPr>
        <w:t xml:space="preserve"> млн рублей</w:t>
      </w:r>
      <w:r w:rsidR="002B622E" w:rsidRPr="00DC7730">
        <w:rPr>
          <w:sz w:val="26"/>
          <w:szCs w:val="26"/>
        </w:rPr>
        <w:t xml:space="preserve"> </w:t>
      </w:r>
      <w:r w:rsidR="008A2020" w:rsidRPr="00DC7730">
        <w:rPr>
          <w:sz w:val="26"/>
          <w:szCs w:val="26"/>
        </w:rPr>
        <w:t xml:space="preserve">(на </w:t>
      </w:r>
      <w:r w:rsidR="00C776A3" w:rsidRPr="00DC7730">
        <w:rPr>
          <w:sz w:val="26"/>
          <w:szCs w:val="26"/>
        </w:rPr>
        <w:t>1</w:t>
      </w:r>
      <w:r w:rsidR="00095D85" w:rsidRPr="00DC7730">
        <w:rPr>
          <w:sz w:val="26"/>
          <w:szCs w:val="26"/>
        </w:rPr>
        <w:t>7,</w:t>
      </w:r>
      <w:r w:rsidR="00C776A3" w:rsidRPr="00DC7730">
        <w:rPr>
          <w:sz w:val="26"/>
          <w:szCs w:val="26"/>
        </w:rPr>
        <w:t>1</w:t>
      </w:r>
      <w:r w:rsidR="008A2020" w:rsidRPr="00DC7730">
        <w:rPr>
          <w:sz w:val="26"/>
          <w:szCs w:val="26"/>
        </w:rPr>
        <w:t>%)</w:t>
      </w:r>
      <w:r w:rsidR="00211A9C" w:rsidRPr="00DC7730">
        <w:rPr>
          <w:sz w:val="26"/>
          <w:szCs w:val="26"/>
        </w:rPr>
        <w:t>, расходам –</w:t>
      </w:r>
      <w:r w:rsidR="008A2020" w:rsidRPr="00DC7730">
        <w:rPr>
          <w:sz w:val="26"/>
          <w:szCs w:val="26"/>
        </w:rPr>
        <w:t xml:space="preserve"> </w:t>
      </w:r>
      <w:r w:rsidR="00211A9C" w:rsidRPr="00DC7730">
        <w:rPr>
          <w:sz w:val="26"/>
          <w:szCs w:val="26"/>
        </w:rPr>
        <w:t xml:space="preserve">на </w:t>
      </w:r>
      <w:r w:rsidR="00C776A3" w:rsidRPr="00DC7730">
        <w:rPr>
          <w:sz w:val="26"/>
          <w:szCs w:val="26"/>
        </w:rPr>
        <w:t>1355,9</w:t>
      </w:r>
      <w:r w:rsidR="00EE0C8F" w:rsidRPr="00DC7730">
        <w:rPr>
          <w:sz w:val="26"/>
          <w:szCs w:val="26"/>
        </w:rPr>
        <w:t xml:space="preserve"> млн рублей (на </w:t>
      </w:r>
      <w:r w:rsidR="00C776A3" w:rsidRPr="00DC7730">
        <w:rPr>
          <w:sz w:val="26"/>
          <w:szCs w:val="26"/>
        </w:rPr>
        <w:t>21,5</w:t>
      </w:r>
      <w:r w:rsidR="00EE0C8F" w:rsidRPr="00DC7730">
        <w:rPr>
          <w:sz w:val="26"/>
          <w:szCs w:val="26"/>
        </w:rPr>
        <w:t>%)</w:t>
      </w:r>
      <w:r w:rsidRPr="00DC7730">
        <w:rPr>
          <w:sz w:val="26"/>
          <w:szCs w:val="26"/>
        </w:rPr>
        <w:t xml:space="preserve">, дефицит бюджета города </w:t>
      </w:r>
      <w:r w:rsidR="00095D85" w:rsidRPr="00DC7730">
        <w:rPr>
          <w:sz w:val="26"/>
          <w:szCs w:val="26"/>
        </w:rPr>
        <w:t>увеличился</w:t>
      </w:r>
      <w:r w:rsidR="00C72EAE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с </w:t>
      </w:r>
      <w:r w:rsidR="00CB06DA" w:rsidRPr="00DC7730">
        <w:rPr>
          <w:sz w:val="26"/>
          <w:szCs w:val="26"/>
        </w:rPr>
        <w:t>0,6</w:t>
      </w:r>
      <w:r w:rsidR="001B1E48" w:rsidRPr="00DC7730">
        <w:rPr>
          <w:sz w:val="26"/>
          <w:szCs w:val="26"/>
        </w:rPr>
        <w:t>%</w:t>
      </w:r>
      <w:r w:rsidRPr="00DC7730">
        <w:rPr>
          <w:sz w:val="26"/>
          <w:szCs w:val="26"/>
        </w:rPr>
        <w:t xml:space="preserve"> до </w:t>
      </w:r>
      <w:r w:rsidR="00C776A3" w:rsidRPr="00DC7730">
        <w:rPr>
          <w:sz w:val="26"/>
          <w:szCs w:val="26"/>
        </w:rPr>
        <w:t xml:space="preserve">8,9%. </w:t>
      </w:r>
      <w:r w:rsidR="00013781" w:rsidRPr="00DC7730">
        <w:rPr>
          <w:sz w:val="26"/>
          <w:szCs w:val="26"/>
        </w:rPr>
        <w:t xml:space="preserve"> </w:t>
      </w:r>
    </w:p>
    <w:p w:rsidR="00404EFC" w:rsidRPr="00DC7730" w:rsidRDefault="00333409" w:rsidP="00E2655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По данным отчета об исполнении бюджета </w:t>
      </w:r>
      <w:r w:rsidR="008C354C" w:rsidRPr="00DC7730">
        <w:rPr>
          <w:sz w:val="26"/>
          <w:szCs w:val="26"/>
        </w:rPr>
        <w:t xml:space="preserve">за </w:t>
      </w:r>
      <w:r w:rsidR="008D3164" w:rsidRPr="00DC7730">
        <w:rPr>
          <w:sz w:val="26"/>
          <w:szCs w:val="26"/>
        </w:rPr>
        <w:t>девять месяцев</w:t>
      </w:r>
      <w:r w:rsidR="004E1334" w:rsidRPr="00DC7730">
        <w:rPr>
          <w:sz w:val="26"/>
          <w:szCs w:val="26"/>
        </w:rPr>
        <w:t xml:space="preserve"> </w:t>
      </w:r>
      <w:r w:rsidR="00EF25B5" w:rsidRPr="00DC7730">
        <w:rPr>
          <w:sz w:val="26"/>
          <w:szCs w:val="26"/>
        </w:rPr>
        <w:t>201</w:t>
      </w:r>
      <w:r w:rsidR="001F1EBB" w:rsidRPr="00DC7730">
        <w:rPr>
          <w:sz w:val="26"/>
          <w:szCs w:val="26"/>
        </w:rPr>
        <w:t>5</w:t>
      </w:r>
      <w:r w:rsidR="00EF25B5" w:rsidRPr="00DC7730">
        <w:rPr>
          <w:sz w:val="26"/>
          <w:szCs w:val="26"/>
        </w:rPr>
        <w:t xml:space="preserve"> года</w:t>
      </w:r>
      <w:r w:rsidR="008C354C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в бюджет города </w:t>
      </w:r>
      <w:r w:rsidR="008C354C" w:rsidRPr="00DC7730">
        <w:rPr>
          <w:sz w:val="26"/>
          <w:szCs w:val="26"/>
        </w:rPr>
        <w:t xml:space="preserve">поступили </w:t>
      </w:r>
      <w:r w:rsidR="004E1334" w:rsidRPr="00DC7730">
        <w:rPr>
          <w:b/>
          <w:i/>
          <w:sz w:val="26"/>
          <w:szCs w:val="26"/>
        </w:rPr>
        <w:t xml:space="preserve">доходы </w:t>
      </w:r>
      <w:r w:rsidR="004E1334" w:rsidRPr="00DC7730">
        <w:rPr>
          <w:sz w:val="26"/>
          <w:szCs w:val="26"/>
        </w:rPr>
        <w:t xml:space="preserve">в сумме </w:t>
      </w:r>
      <w:r w:rsidR="008D3164" w:rsidRPr="00DC7730">
        <w:rPr>
          <w:b/>
          <w:i/>
          <w:sz w:val="26"/>
          <w:szCs w:val="26"/>
        </w:rPr>
        <w:t>5143,9</w:t>
      </w:r>
      <w:r w:rsidR="004E1334" w:rsidRPr="00DC7730">
        <w:rPr>
          <w:b/>
          <w:i/>
          <w:sz w:val="26"/>
          <w:szCs w:val="26"/>
        </w:rPr>
        <w:t xml:space="preserve"> </w:t>
      </w:r>
      <w:r w:rsidR="004E1334" w:rsidRPr="00DC7730">
        <w:rPr>
          <w:sz w:val="26"/>
          <w:szCs w:val="26"/>
        </w:rPr>
        <w:t xml:space="preserve">млн рублей, или </w:t>
      </w:r>
      <w:r w:rsidR="008D3164" w:rsidRPr="00DC7730">
        <w:rPr>
          <w:b/>
          <w:i/>
          <w:sz w:val="26"/>
          <w:szCs w:val="26"/>
        </w:rPr>
        <w:t>69,8</w:t>
      </w:r>
      <w:r w:rsidR="004E1334" w:rsidRPr="00DC7730">
        <w:rPr>
          <w:b/>
          <w:i/>
          <w:sz w:val="26"/>
          <w:szCs w:val="26"/>
        </w:rPr>
        <w:t>%</w:t>
      </w:r>
      <w:r w:rsidR="004E1334" w:rsidRPr="00DC7730">
        <w:rPr>
          <w:sz w:val="26"/>
          <w:szCs w:val="26"/>
        </w:rPr>
        <w:t xml:space="preserve"> от утвержденного бюджета на 2015 год (в редакции от 2</w:t>
      </w:r>
      <w:r w:rsidR="008D3164" w:rsidRPr="00DC7730">
        <w:rPr>
          <w:sz w:val="26"/>
          <w:szCs w:val="26"/>
        </w:rPr>
        <w:t>1</w:t>
      </w:r>
      <w:r w:rsidR="004E1334" w:rsidRPr="00DC7730">
        <w:rPr>
          <w:sz w:val="26"/>
          <w:szCs w:val="26"/>
        </w:rPr>
        <w:t>.0</w:t>
      </w:r>
      <w:r w:rsidR="008D3164" w:rsidRPr="00DC7730">
        <w:rPr>
          <w:sz w:val="26"/>
          <w:szCs w:val="26"/>
        </w:rPr>
        <w:t>9</w:t>
      </w:r>
      <w:r w:rsidR="004E1334" w:rsidRPr="00DC7730">
        <w:rPr>
          <w:sz w:val="26"/>
          <w:szCs w:val="26"/>
        </w:rPr>
        <w:t xml:space="preserve">.2015). </w:t>
      </w:r>
      <w:r w:rsidR="004E1334" w:rsidRPr="00DC7730">
        <w:rPr>
          <w:b/>
          <w:i/>
          <w:sz w:val="26"/>
          <w:szCs w:val="26"/>
        </w:rPr>
        <w:t>Расходы</w:t>
      </w:r>
      <w:r w:rsidR="004E1334" w:rsidRPr="00DC7730">
        <w:rPr>
          <w:b/>
          <w:sz w:val="26"/>
          <w:szCs w:val="26"/>
        </w:rPr>
        <w:t xml:space="preserve"> </w:t>
      </w:r>
      <w:r w:rsidR="004E1334" w:rsidRPr="00DC7730">
        <w:rPr>
          <w:sz w:val="26"/>
          <w:szCs w:val="26"/>
        </w:rPr>
        <w:t xml:space="preserve">бюджета составили </w:t>
      </w:r>
      <w:r w:rsidR="008D3164" w:rsidRPr="00DC7730">
        <w:rPr>
          <w:b/>
          <w:i/>
          <w:sz w:val="26"/>
          <w:szCs w:val="26"/>
        </w:rPr>
        <w:t>5389,4</w:t>
      </w:r>
      <w:r w:rsidR="004E1334" w:rsidRPr="00DC7730">
        <w:rPr>
          <w:sz w:val="26"/>
          <w:szCs w:val="26"/>
        </w:rPr>
        <w:t xml:space="preserve"> млн рублей, или</w:t>
      </w:r>
      <w:r w:rsidR="004E1334" w:rsidRPr="00DC7730">
        <w:rPr>
          <w:b/>
          <w:i/>
          <w:sz w:val="26"/>
          <w:szCs w:val="26"/>
        </w:rPr>
        <w:t xml:space="preserve"> </w:t>
      </w:r>
      <w:r w:rsidR="008D3164" w:rsidRPr="00DC7730">
        <w:rPr>
          <w:b/>
          <w:i/>
          <w:sz w:val="26"/>
          <w:szCs w:val="26"/>
        </w:rPr>
        <w:t>70,3</w:t>
      </w:r>
      <w:r w:rsidR="004E1334" w:rsidRPr="00DC7730">
        <w:rPr>
          <w:b/>
          <w:i/>
          <w:sz w:val="26"/>
          <w:szCs w:val="26"/>
        </w:rPr>
        <w:t>%</w:t>
      </w:r>
      <w:r w:rsidR="004E1334" w:rsidRPr="00DC7730">
        <w:rPr>
          <w:sz w:val="26"/>
          <w:szCs w:val="26"/>
        </w:rPr>
        <w:t xml:space="preserve"> к годовым назначениям. Бюджет исполнен с превышением расходов над доходами (дефицитом) в сумме </w:t>
      </w:r>
      <w:r w:rsidR="008D3164" w:rsidRPr="00DC7730">
        <w:rPr>
          <w:b/>
          <w:i/>
          <w:sz w:val="26"/>
          <w:szCs w:val="26"/>
        </w:rPr>
        <w:t>245,5</w:t>
      </w:r>
      <w:r w:rsidR="004E1334" w:rsidRPr="00DC7730">
        <w:rPr>
          <w:sz w:val="26"/>
          <w:szCs w:val="26"/>
        </w:rPr>
        <w:t xml:space="preserve"> млн рублей. </w:t>
      </w:r>
    </w:p>
    <w:p w:rsidR="00404EFC" w:rsidRDefault="00404EFC" w:rsidP="00E2655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Исполнение основных характеристик бюджета города за </w:t>
      </w:r>
      <w:r w:rsidR="008D3164" w:rsidRPr="00DC7730">
        <w:rPr>
          <w:sz w:val="26"/>
          <w:szCs w:val="26"/>
        </w:rPr>
        <w:t>девять месяцев</w:t>
      </w:r>
      <w:r w:rsidRPr="00DC7730">
        <w:rPr>
          <w:sz w:val="26"/>
          <w:szCs w:val="26"/>
        </w:rPr>
        <w:t xml:space="preserve"> 2015 года в с</w:t>
      </w:r>
      <w:r w:rsidR="008D3164" w:rsidRPr="00DC7730">
        <w:rPr>
          <w:sz w:val="26"/>
          <w:szCs w:val="26"/>
        </w:rPr>
        <w:t xml:space="preserve">равнении с аналогичным периодом </w:t>
      </w:r>
      <w:r w:rsidRPr="00DC7730">
        <w:rPr>
          <w:sz w:val="26"/>
          <w:szCs w:val="26"/>
        </w:rPr>
        <w:t>2014 года характеризуется следующими данными.</w:t>
      </w:r>
    </w:p>
    <w:p w:rsidR="007E257F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7E257F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7E257F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7E257F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7E257F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7E257F" w:rsidRPr="00DC7730" w:rsidRDefault="007E257F" w:rsidP="00E2655F">
      <w:pPr>
        <w:spacing w:line="276" w:lineRule="auto"/>
        <w:ind w:firstLine="709"/>
        <w:jc w:val="both"/>
        <w:rPr>
          <w:sz w:val="26"/>
          <w:szCs w:val="26"/>
        </w:rPr>
      </w:pPr>
    </w:p>
    <w:p w:rsidR="004E1334" w:rsidRPr="00DC7730" w:rsidRDefault="004E1334" w:rsidP="007E257F">
      <w:pPr>
        <w:spacing w:line="276" w:lineRule="auto"/>
        <w:ind w:firstLine="709"/>
        <w:jc w:val="right"/>
        <w:rPr>
          <w:sz w:val="26"/>
          <w:szCs w:val="26"/>
        </w:rPr>
      </w:pPr>
      <w:r w:rsidRPr="00DC7730">
        <w:rPr>
          <w:sz w:val="26"/>
          <w:szCs w:val="26"/>
        </w:rPr>
        <w:lastRenderedPageBreak/>
        <w:t>Таблица 1</w:t>
      </w:r>
    </w:p>
    <w:p w:rsidR="004E1334" w:rsidRPr="00DC7730" w:rsidRDefault="004E1334" w:rsidP="007E257F">
      <w:pPr>
        <w:spacing w:line="276" w:lineRule="auto"/>
        <w:ind w:firstLine="709"/>
        <w:jc w:val="right"/>
        <w:rPr>
          <w:sz w:val="26"/>
          <w:szCs w:val="26"/>
        </w:rPr>
      </w:pPr>
      <w:r w:rsidRPr="00DC7730">
        <w:rPr>
          <w:sz w:val="26"/>
          <w:szCs w:val="26"/>
        </w:rPr>
        <w:t xml:space="preserve">(тыс. рублей)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330"/>
        <w:gridCol w:w="1233"/>
        <w:gridCol w:w="1516"/>
        <w:gridCol w:w="1166"/>
        <w:gridCol w:w="1559"/>
        <w:gridCol w:w="1559"/>
      </w:tblGrid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Утверждено на 2015 год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Исполнено за 9 месяцев</w:t>
            </w:r>
          </w:p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2015 года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Процент исполнения бюджетных назначений за 9 месяцев 2015 года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Исполнено за 9 месяцев 2014 года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 xml:space="preserve">Процент исполнения бюджетных назначений за 9 месяцев 2014 года 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center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Процент роста (снижения)  9 месяцев 2015 года к 9 месяцам 2014 года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2 246 351,2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1 412 676,6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62,9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1 275 387,6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110,8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1 104 080,5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719 661,4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65,2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604 438,6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75,7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119,1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Итого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3 350 431,7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2 132 338,0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63,6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1 879 826,2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113,4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4 020 935,0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3 011 576,4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74,9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2 940 088,2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</w:p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102,4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7 371 366,7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5 143 914,4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69,8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4 819 914,4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67,6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9A1EA8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 xml:space="preserve">           106,7</w:t>
            </w:r>
          </w:p>
        </w:tc>
      </w:tr>
      <w:tr w:rsidR="00DC7730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7 666 583,2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5 389 405,9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70,3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5 385 508,7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100,1</w:t>
            </w:r>
          </w:p>
        </w:tc>
      </w:tr>
      <w:tr w:rsidR="00B55A3F" w:rsidRPr="00DC7730" w:rsidTr="001F6875">
        <w:tc>
          <w:tcPr>
            <w:tcW w:w="1843" w:type="dxa"/>
            <w:shd w:val="clear" w:color="auto" w:fill="auto"/>
          </w:tcPr>
          <w:p w:rsidR="00B55A3F" w:rsidRPr="00DC7730" w:rsidRDefault="00B55A3F" w:rsidP="00B55A3F">
            <w:pPr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 xml:space="preserve">Дефицит  </w:t>
            </w:r>
          </w:p>
        </w:tc>
        <w:tc>
          <w:tcPr>
            <w:tcW w:w="1330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295 216,5</w:t>
            </w:r>
          </w:p>
        </w:tc>
        <w:tc>
          <w:tcPr>
            <w:tcW w:w="1233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245 491,5</w:t>
            </w:r>
          </w:p>
        </w:tc>
        <w:tc>
          <w:tcPr>
            <w:tcW w:w="151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83,2</w:t>
            </w:r>
          </w:p>
        </w:tc>
        <w:tc>
          <w:tcPr>
            <w:tcW w:w="1166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565 594,3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82,9</w:t>
            </w:r>
          </w:p>
        </w:tc>
        <w:tc>
          <w:tcPr>
            <w:tcW w:w="1559" w:type="dxa"/>
            <w:shd w:val="clear" w:color="auto" w:fill="auto"/>
          </w:tcPr>
          <w:p w:rsidR="00B55A3F" w:rsidRPr="00DC7730" w:rsidRDefault="00B55A3F" w:rsidP="00B55A3F">
            <w:pPr>
              <w:jc w:val="right"/>
              <w:rPr>
                <w:sz w:val="20"/>
                <w:szCs w:val="20"/>
              </w:rPr>
            </w:pPr>
            <w:r w:rsidRPr="00DC7730">
              <w:rPr>
                <w:sz w:val="20"/>
                <w:szCs w:val="20"/>
              </w:rPr>
              <w:t>43,4</w:t>
            </w:r>
          </w:p>
        </w:tc>
      </w:tr>
    </w:tbl>
    <w:p w:rsidR="00B55A3F" w:rsidRPr="00DC7730" w:rsidRDefault="00B55A3F" w:rsidP="004E1334">
      <w:pPr>
        <w:ind w:firstLine="709"/>
        <w:jc w:val="right"/>
        <w:rPr>
          <w:sz w:val="26"/>
          <w:szCs w:val="26"/>
        </w:rPr>
      </w:pP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b/>
          <w:i/>
          <w:sz w:val="26"/>
          <w:szCs w:val="26"/>
        </w:rPr>
        <w:t xml:space="preserve">По налоговым и неналоговым доходам </w:t>
      </w:r>
      <w:r w:rsidRPr="00DC7730">
        <w:rPr>
          <w:sz w:val="26"/>
          <w:szCs w:val="26"/>
        </w:rPr>
        <w:t>бюджет города</w:t>
      </w:r>
      <w:r w:rsidRPr="00DC7730">
        <w:rPr>
          <w:b/>
          <w:i/>
          <w:sz w:val="26"/>
          <w:szCs w:val="26"/>
        </w:rPr>
        <w:t xml:space="preserve"> </w:t>
      </w:r>
      <w:r w:rsidRPr="00DC7730">
        <w:rPr>
          <w:sz w:val="26"/>
          <w:szCs w:val="26"/>
        </w:rPr>
        <w:t>исполнен</w:t>
      </w:r>
      <w:r w:rsidRPr="00DC7730">
        <w:rPr>
          <w:b/>
          <w:i/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в сумме </w:t>
      </w:r>
      <w:r w:rsidRPr="00DC7730">
        <w:rPr>
          <w:b/>
          <w:i/>
          <w:sz w:val="26"/>
          <w:szCs w:val="26"/>
        </w:rPr>
        <w:t>2132,3</w:t>
      </w:r>
      <w:r w:rsidRPr="00DC7730">
        <w:rPr>
          <w:sz w:val="26"/>
          <w:szCs w:val="26"/>
        </w:rPr>
        <w:t xml:space="preserve"> млн рублей (</w:t>
      </w:r>
      <w:r w:rsidRPr="00DC7730">
        <w:rPr>
          <w:b/>
          <w:i/>
          <w:sz w:val="26"/>
          <w:szCs w:val="26"/>
        </w:rPr>
        <w:t>63,6</w:t>
      </w:r>
      <w:r w:rsidRPr="00DC7730">
        <w:rPr>
          <w:sz w:val="26"/>
          <w:szCs w:val="26"/>
        </w:rPr>
        <w:t xml:space="preserve">% от утвержденных бюджетных назначений). В сравнении с аналогичным периодом предыдущего года их поступление увеличилось на 252,5 млн рублей, или 13,4 процента. Удельный вес в доходах бюджета города налоговых и неналоговых доходов  составил 41,5%, увеличился в сравнении с </w:t>
      </w:r>
      <w:r w:rsidR="00D620CA" w:rsidRPr="00DC7730">
        <w:rPr>
          <w:sz w:val="26"/>
          <w:szCs w:val="26"/>
        </w:rPr>
        <w:t>девятью</w:t>
      </w:r>
      <w:r w:rsidRPr="00DC7730">
        <w:rPr>
          <w:sz w:val="26"/>
          <w:szCs w:val="26"/>
        </w:rPr>
        <w:t xml:space="preserve"> месяцами 2014 года на 2,5 процентных пункта.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При увеличении объемов поступлений по налоговым и неналоговым доходам в сравнении с аналогичным периодом прошлого года исполнение годовых назначений идет со значительным отставанием. Так, за </w:t>
      </w:r>
      <w:r w:rsidR="00D620CA" w:rsidRPr="00DC7730">
        <w:rPr>
          <w:sz w:val="26"/>
          <w:szCs w:val="26"/>
        </w:rPr>
        <w:t xml:space="preserve">девять </w:t>
      </w:r>
      <w:r w:rsidRPr="00DC7730">
        <w:rPr>
          <w:sz w:val="26"/>
          <w:szCs w:val="26"/>
        </w:rPr>
        <w:t>месяцев т.г. объем поступлений по налоговым доходам составил 62,9% годовых назначений, по неналоговым доходам -  65,2% годовых назначений.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Основным доходным источником бюджета города продолжает оставаться налог на доходы физических лиц, его удельный вес в налоговых доходах составил 49,0%, в налоговых и неналоговых доходах бюджета города </w:t>
      </w:r>
      <w:r w:rsidR="007E4420" w:rsidRPr="00DC7730">
        <w:rPr>
          <w:sz w:val="26"/>
          <w:szCs w:val="26"/>
        </w:rPr>
        <w:t xml:space="preserve">- </w:t>
      </w:r>
      <w:r w:rsidRPr="00DC7730">
        <w:rPr>
          <w:sz w:val="26"/>
          <w:szCs w:val="26"/>
        </w:rPr>
        <w:t xml:space="preserve">32,4 процента. При этом исполнение годовых назначений по налогу на доходы физических лиц составило 62,2% годовых назначений, фактически поступило 691,5 млн рублей. Для исполнения годовых назначений по налогу необходимо обеспечить поступление налога в 4 квартале т.г. в размере 420,8 млн рублей, что превышает фактическое поступление налога в 3 квартале </w:t>
      </w:r>
      <w:r w:rsidR="007E4420" w:rsidRPr="00DC7730">
        <w:rPr>
          <w:sz w:val="26"/>
          <w:szCs w:val="26"/>
        </w:rPr>
        <w:t xml:space="preserve">т.г. </w:t>
      </w:r>
      <w:r w:rsidRPr="00DC7730">
        <w:rPr>
          <w:sz w:val="26"/>
          <w:szCs w:val="26"/>
        </w:rPr>
        <w:t xml:space="preserve">на 158,2 млн рублей (1,6 раза). Сложившаяся динамика поступления данного налога, показатели роста среднемесячной заработной платы, не подтверждают возможности обеспечения роста поступлений налога в 4 квартале </w:t>
      </w:r>
      <w:r w:rsidR="007E4420" w:rsidRPr="00DC7730">
        <w:rPr>
          <w:sz w:val="26"/>
          <w:szCs w:val="26"/>
        </w:rPr>
        <w:t xml:space="preserve">т.г. </w:t>
      </w:r>
      <w:r w:rsidRPr="00DC7730">
        <w:rPr>
          <w:sz w:val="26"/>
          <w:szCs w:val="26"/>
        </w:rPr>
        <w:t>в таких размерах.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Годовые назначения по местным налогам исполнены на 57,7% (поступило 434,5 млн рублей), в том числе земельного налога поступило 265,7 млн рублей (51,2% годовых назначений), налога на имущество физических лиц – 168,8 млн рублей (72,1% годовых назначений). Принимая во внимание установленные законодательством сроки уплаты местных налогов, существуют риски неисполнения годовых назначений по данным налогам.  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lastRenderedPageBreak/>
        <w:t>В составе неналоговых доходов со значительным отставанием идет исполнение годовых назначений по доходам от продажи земельных участков, государственная собственность на которые не разграничена (поступило 139,0 млн рублей, или 49,3% годовых назначений); платежам при пользовании природными ресурсами (поступило 4,0 млн рублей, или 57,4% годовых назначений); арендной плате за земельные участки, государственная собственность на которые не разграничена (поступило 89,8 млн рублей, или 60,7% годовых назначений); от продажи муниципального имущества (поступило 213,2 млн рублей, или 62,3% годовых назначений); арендной плате за земельные участки, находящиеся в собственности городских округов (поступило 10,3 млн рублей, или 65,6% годовых назначений).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Следует отметить, что по итогам </w:t>
      </w:r>
      <w:r w:rsidR="001F48B1" w:rsidRPr="00DC7730">
        <w:rPr>
          <w:sz w:val="26"/>
          <w:szCs w:val="26"/>
        </w:rPr>
        <w:t>девяти</w:t>
      </w:r>
      <w:r w:rsidRPr="00DC7730">
        <w:rPr>
          <w:sz w:val="26"/>
          <w:szCs w:val="26"/>
        </w:rPr>
        <w:t xml:space="preserve"> месяцев перевыполнены плановые годовые назначения по 6 доходным источникам: по единому сельскохозяйственному налогу в 2,4 раза (поступило 1,2 млн рублей при плане 0,5 млн рублей), по доходам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в 1,6 раза (поступило 3,2 млн рублей при плане 2,0 млн рублей), по доходам от перечисления части прибыли, остающейся после уплаты налогов и иных обязательных платежей муниципальных унитарных предприятий, на 20,4% (поступило 0,5 млн рублей при плане 0,4 млн рублей), по прочим поступлениям от использования имущества на 21,4% (поступило 26,5 млн рублей при плане 21,8 млн рублей), по прочим неналоговым доходам в 6,1 раза (поступило 5,2 млн рублей при плане 0,9 млн рублей), по доходам от оказания платных услуг и компенсации затрат государства в 2,7 раза (поступило 8,3 млн рублей при плане 3,1 млн рублей), что свидетельствует о недостатках их планирования.</w:t>
      </w:r>
    </w:p>
    <w:p w:rsidR="00B55A3F" w:rsidRPr="00DC7730" w:rsidRDefault="00B55A3F" w:rsidP="007E257F">
      <w:pPr>
        <w:spacing w:line="276" w:lineRule="auto"/>
        <w:ind w:firstLine="709"/>
        <w:jc w:val="both"/>
        <w:rPr>
          <w:b/>
          <w:bCs/>
          <w:i/>
          <w:iCs/>
          <w:sz w:val="26"/>
          <w:szCs w:val="26"/>
        </w:rPr>
      </w:pPr>
      <w:r w:rsidRPr="00DC7730">
        <w:rPr>
          <w:sz w:val="26"/>
          <w:szCs w:val="26"/>
        </w:rPr>
        <w:t xml:space="preserve">Соответственно уменьшился удельный вес безвозмездных поступлений в доходах бюджета города с 61,0% за </w:t>
      </w:r>
      <w:r w:rsidR="0018403B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2014 года до 58,5% в отчетном периоде. За</w:t>
      </w:r>
      <w:r w:rsidR="0018403B" w:rsidRPr="00DC7730">
        <w:rPr>
          <w:sz w:val="26"/>
          <w:szCs w:val="26"/>
        </w:rPr>
        <w:t xml:space="preserve"> девять</w:t>
      </w:r>
      <w:r w:rsidRPr="00DC7730">
        <w:rPr>
          <w:sz w:val="26"/>
          <w:szCs w:val="26"/>
        </w:rPr>
        <w:t xml:space="preserve"> месяцев 2015 года поступило безвозмездных поступлений 3011,6 млн рублей, или 74,9% к годовым бюджетным назначениям. В сравнении с аналогичным периодом 2014 года объем безвозмездных поступлений увеличился на 71,5 млн рублей, или на 2,4 процента.</w:t>
      </w:r>
    </w:p>
    <w:p w:rsidR="00594EB6" w:rsidRPr="00DC7730" w:rsidRDefault="00594EB6" w:rsidP="007E25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b/>
          <w:bCs/>
          <w:i/>
          <w:iCs/>
          <w:sz w:val="26"/>
          <w:szCs w:val="26"/>
        </w:rPr>
        <w:t>Расходы</w:t>
      </w:r>
      <w:r w:rsidRPr="00DC7730">
        <w:rPr>
          <w:sz w:val="26"/>
          <w:szCs w:val="26"/>
        </w:rPr>
        <w:t xml:space="preserve"> бюджета города исполнены в сумме </w:t>
      </w:r>
      <w:r w:rsidR="00051AC4" w:rsidRPr="00DC7730">
        <w:rPr>
          <w:b/>
          <w:i/>
          <w:sz w:val="26"/>
          <w:szCs w:val="26"/>
        </w:rPr>
        <w:t>5389,4</w:t>
      </w:r>
      <w:r w:rsidRPr="00DC7730">
        <w:rPr>
          <w:sz w:val="26"/>
          <w:szCs w:val="26"/>
        </w:rPr>
        <w:t xml:space="preserve"> млн</w:t>
      </w:r>
      <w:r w:rsidRPr="00DC7730">
        <w:rPr>
          <w:b/>
          <w:bCs/>
          <w:i/>
          <w:iCs/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рублей, что составляет </w:t>
      </w:r>
      <w:r w:rsidR="002E279C" w:rsidRPr="00DC7730">
        <w:rPr>
          <w:b/>
          <w:i/>
          <w:sz w:val="26"/>
          <w:szCs w:val="26"/>
        </w:rPr>
        <w:t>70,3</w:t>
      </w:r>
      <w:r w:rsidRPr="00DC7730">
        <w:rPr>
          <w:b/>
          <w:bCs/>
          <w:i/>
          <w:iCs/>
          <w:sz w:val="26"/>
          <w:szCs w:val="26"/>
        </w:rPr>
        <w:t>%</w:t>
      </w:r>
      <w:r w:rsidRPr="00DC7730">
        <w:rPr>
          <w:sz w:val="26"/>
          <w:szCs w:val="26"/>
        </w:rPr>
        <w:t xml:space="preserve"> к уточненным назначениям и </w:t>
      </w:r>
      <w:r w:rsidR="002E279C" w:rsidRPr="00DC7730">
        <w:rPr>
          <w:b/>
          <w:i/>
          <w:sz w:val="26"/>
          <w:szCs w:val="26"/>
        </w:rPr>
        <w:t>85,4</w:t>
      </w:r>
      <w:r w:rsidRPr="00DC7730">
        <w:rPr>
          <w:b/>
          <w:i/>
          <w:sz w:val="26"/>
          <w:szCs w:val="26"/>
        </w:rPr>
        <w:t>%</w:t>
      </w:r>
      <w:r w:rsidRPr="00DC7730">
        <w:rPr>
          <w:sz w:val="26"/>
          <w:szCs w:val="26"/>
        </w:rPr>
        <w:t xml:space="preserve"> к первоначально утвержденному бюджету (для сравнения </w:t>
      </w:r>
      <w:r w:rsidR="00DF7F81" w:rsidRPr="00DC7730">
        <w:rPr>
          <w:sz w:val="26"/>
          <w:szCs w:val="26"/>
        </w:rPr>
        <w:t>девять месяцев</w:t>
      </w:r>
      <w:r w:rsidRPr="00DC7730">
        <w:rPr>
          <w:sz w:val="26"/>
          <w:szCs w:val="26"/>
        </w:rPr>
        <w:t xml:space="preserve"> 201</w:t>
      </w:r>
      <w:r w:rsidR="00855C6C" w:rsidRPr="00DC7730">
        <w:rPr>
          <w:sz w:val="26"/>
          <w:szCs w:val="26"/>
        </w:rPr>
        <w:t>4</w:t>
      </w:r>
      <w:r w:rsidRPr="00DC7730">
        <w:rPr>
          <w:sz w:val="26"/>
          <w:szCs w:val="26"/>
        </w:rPr>
        <w:t xml:space="preserve"> года  - </w:t>
      </w:r>
      <w:r w:rsidR="00855C6C" w:rsidRPr="00DC7730">
        <w:rPr>
          <w:sz w:val="26"/>
          <w:szCs w:val="26"/>
        </w:rPr>
        <w:t>5385,5</w:t>
      </w:r>
      <w:r w:rsidRPr="00DC7730">
        <w:rPr>
          <w:sz w:val="26"/>
          <w:szCs w:val="26"/>
        </w:rPr>
        <w:t xml:space="preserve"> млн рублей, к уточненным назначениям по состоянию на 01.</w:t>
      </w:r>
      <w:r w:rsidR="00855C6C" w:rsidRPr="00DC7730">
        <w:rPr>
          <w:sz w:val="26"/>
          <w:szCs w:val="26"/>
        </w:rPr>
        <w:t>1</w:t>
      </w:r>
      <w:r w:rsidRPr="00DC7730">
        <w:rPr>
          <w:sz w:val="26"/>
          <w:szCs w:val="26"/>
        </w:rPr>
        <w:t xml:space="preserve">0.2014 – </w:t>
      </w:r>
      <w:r w:rsidR="00855C6C" w:rsidRPr="00DC7730">
        <w:rPr>
          <w:sz w:val="26"/>
          <w:szCs w:val="26"/>
        </w:rPr>
        <w:t>68,9</w:t>
      </w:r>
      <w:r w:rsidRPr="00DC7730">
        <w:rPr>
          <w:sz w:val="26"/>
          <w:szCs w:val="26"/>
        </w:rPr>
        <w:t xml:space="preserve">%, к первоначально утвержденному бюджету – </w:t>
      </w:r>
      <w:r w:rsidR="00855C6C" w:rsidRPr="00DC7730">
        <w:rPr>
          <w:sz w:val="26"/>
          <w:szCs w:val="26"/>
        </w:rPr>
        <w:t>85,2</w:t>
      </w:r>
      <w:r w:rsidRPr="00DC7730">
        <w:rPr>
          <w:sz w:val="26"/>
          <w:szCs w:val="26"/>
        </w:rPr>
        <w:t xml:space="preserve">%). За счет безвозмездных поступлений от других бюджетов </w:t>
      </w:r>
      <w:r w:rsidR="00855C6C" w:rsidRPr="00DC7730">
        <w:rPr>
          <w:sz w:val="26"/>
          <w:szCs w:val="26"/>
        </w:rPr>
        <w:t>за девять месяцев</w:t>
      </w:r>
      <w:r w:rsidRPr="00DC7730">
        <w:rPr>
          <w:sz w:val="26"/>
          <w:szCs w:val="26"/>
        </w:rPr>
        <w:t xml:space="preserve"> 2015 года израсходовано </w:t>
      </w:r>
      <w:r w:rsidR="006C3509" w:rsidRPr="00DC7730">
        <w:rPr>
          <w:sz w:val="26"/>
          <w:szCs w:val="26"/>
        </w:rPr>
        <w:t>2</w:t>
      </w:r>
      <w:r w:rsidR="00855C6C" w:rsidRPr="00DC7730">
        <w:rPr>
          <w:sz w:val="26"/>
          <w:szCs w:val="26"/>
        </w:rPr>
        <w:t>962,5</w:t>
      </w:r>
      <w:r w:rsidRPr="00DC7730">
        <w:rPr>
          <w:sz w:val="26"/>
          <w:szCs w:val="26"/>
        </w:rPr>
        <w:t xml:space="preserve"> млн рублей, или </w:t>
      </w:r>
      <w:r w:rsidR="00745F05" w:rsidRPr="00DC7730">
        <w:rPr>
          <w:sz w:val="26"/>
          <w:szCs w:val="26"/>
        </w:rPr>
        <w:t>5</w:t>
      </w:r>
      <w:r w:rsidR="00855C6C" w:rsidRPr="00DC7730">
        <w:rPr>
          <w:sz w:val="26"/>
          <w:szCs w:val="26"/>
        </w:rPr>
        <w:t>5,0</w:t>
      </w:r>
      <w:r w:rsidRPr="00DC7730">
        <w:rPr>
          <w:sz w:val="26"/>
          <w:szCs w:val="26"/>
        </w:rPr>
        <w:t>% общего объема кассовых расходов (</w:t>
      </w:r>
      <w:r w:rsidR="00855C6C" w:rsidRPr="00DC7730">
        <w:rPr>
          <w:sz w:val="26"/>
          <w:szCs w:val="26"/>
        </w:rPr>
        <w:t>за девять месяцев</w:t>
      </w:r>
      <w:r w:rsidRPr="00DC7730">
        <w:rPr>
          <w:sz w:val="26"/>
          <w:szCs w:val="26"/>
        </w:rPr>
        <w:t xml:space="preserve"> 2014 года – </w:t>
      </w:r>
      <w:r w:rsidR="00855C6C" w:rsidRPr="00DC7730">
        <w:rPr>
          <w:sz w:val="26"/>
          <w:szCs w:val="26"/>
        </w:rPr>
        <w:t>2847,4</w:t>
      </w:r>
      <w:r w:rsidRPr="00DC7730">
        <w:rPr>
          <w:sz w:val="26"/>
          <w:szCs w:val="26"/>
        </w:rPr>
        <w:t xml:space="preserve"> млн рублей, или </w:t>
      </w:r>
      <w:r w:rsidR="00855C6C" w:rsidRPr="00DC7730">
        <w:rPr>
          <w:sz w:val="26"/>
          <w:szCs w:val="26"/>
        </w:rPr>
        <w:t>52,9</w:t>
      </w:r>
      <w:r w:rsidRPr="00DC7730">
        <w:rPr>
          <w:sz w:val="26"/>
          <w:szCs w:val="26"/>
        </w:rPr>
        <w:t xml:space="preserve">%). За отчетный период 2015 года по сравнению с аналогичным периодом 2014 года расходы бюджета в целом больше на </w:t>
      </w:r>
      <w:r w:rsidR="00855C6C" w:rsidRPr="00DC7730">
        <w:rPr>
          <w:sz w:val="26"/>
          <w:szCs w:val="26"/>
        </w:rPr>
        <w:t>3,9</w:t>
      </w:r>
      <w:r w:rsidRPr="00DC7730">
        <w:rPr>
          <w:sz w:val="26"/>
          <w:szCs w:val="26"/>
        </w:rPr>
        <w:t xml:space="preserve"> млн рублей</w:t>
      </w:r>
      <w:r w:rsidR="00676811" w:rsidRPr="00DC7730">
        <w:rPr>
          <w:sz w:val="26"/>
          <w:szCs w:val="26"/>
        </w:rPr>
        <w:t xml:space="preserve"> (</w:t>
      </w:r>
      <w:r w:rsidRPr="00DC7730">
        <w:rPr>
          <w:sz w:val="26"/>
          <w:szCs w:val="26"/>
        </w:rPr>
        <w:t xml:space="preserve">на </w:t>
      </w:r>
      <w:r w:rsidR="00855C6C" w:rsidRPr="00DC7730">
        <w:rPr>
          <w:sz w:val="26"/>
          <w:szCs w:val="26"/>
        </w:rPr>
        <w:t>0,</w:t>
      </w:r>
      <w:r w:rsidR="002B5067" w:rsidRPr="00DC7730">
        <w:rPr>
          <w:sz w:val="26"/>
          <w:szCs w:val="26"/>
        </w:rPr>
        <w:t>1</w:t>
      </w:r>
      <w:r w:rsidRPr="00DC7730">
        <w:rPr>
          <w:sz w:val="26"/>
          <w:szCs w:val="26"/>
        </w:rPr>
        <w:t>%</w:t>
      </w:r>
      <w:r w:rsidR="00676811" w:rsidRPr="00DC7730">
        <w:rPr>
          <w:sz w:val="26"/>
          <w:szCs w:val="26"/>
        </w:rPr>
        <w:t>)</w:t>
      </w:r>
      <w:r w:rsidRPr="00DC7730">
        <w:rPr>
          <w:sz w:val="26"/>
          <w:szCs w:val="26"/>
        </w:rPr>
        <w:t xml:space="preserve">, расходы за счет безвозмездных поступлений больше на </w:t>
      </w:r>
      <w:r w:rsidR="00855C6C" w:rsidRPr="00DC7730">
        <w:rPr>
          <w:sz w:val="26"/>
          <w:szCs w:val="26"/>
        </w:rPr>
        <w:t>115,1</w:t>
      </w:r>
      <w:r w:rsidRPr="00DC7730">
        <w:rPr>
          <w:sz w:val="26"/>
          <w:szCs w:val="26"/>
        </w:rPr>
        <w:t xml:space="preserve"> млн рублей (на </w:t>
      </w:r>
      <w:r w:rsidR="00210DC2" w:rsidRPr="00DC7730">
        <w:rPr>
          <w:sz w:val="26"/>
          <w:szCs w:val="26"/>
        </w:rPr>
        <w:t>4,0</w:t>
      </w:r>
      <w:r w:rsidRPr="00DC7730">
        <w:rPr>
          <w:sz w:val="26"/>
          <w:szCs w:val="26"/>
        </w:rPr>
        <w:t>%).</w:t>
      </w:r>
    </w:p>
    <w:p w:rsidR="001C3C91" w:rsidRPr="00DC7730" w:rsidRDefault="00594EB6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В разрезе разделов классификации расходов наиболее высокий процент исполнения сложился по разделам </w:t>
      </w:r>
      <w:r w:rsidR="008643A5" w:rsidRPr="00DC7730">
        <w:rPr>
          <w:sz w:val="26"/>
          <w:szCs w:val="26"/>
        </w:rPr>
        <w:t xml:space="preserve">0200 «Национальная оборона» - 82,7%, 1000 «Социальная политика» - 78,6%, 0700 «Образование» - 74,2%, 0800 «Культура, кинематография» - </w:t>
      </w:r>
      <w:r w:rsidR="008643A5" w:rsidRPr="00DC7730">
        <w:rPr>
          <w:sz w:val="26"/>
          <w:szCs w:val="26"/>
        </w:rPr>
        <w:lastRenderedPageBreak/>
        <w:t xml:space="preserve">72,5%, 1200 «Средства массовой информации» - 71,7%, </w:t>
      </w:r>
      <w:r w:rsidRPr="00DC7730">
        <w:rPr>
          <w:sz w:val="26"/>
          <w:szCs w:val="26"/>
        </w:rPr>
        <w:t xml:space="preserve">наиболее низкий - по разделам </w:t>
      </w:r>
      <w:r w:rsidR="0022266F" w:rsidRPr="00DC7730">
        <w:rPr>
          <w:sz w:val="26"/>
          <w:szCs w:val="26"/>
        </w:rPr>
        <w:t xml:space="preserve">0600 «Охрана окружающей среды» - </w:t>
      </w:r>
      <w:r w:rsidR="00184C4D" w:rsidRPr="00DC7730">
        <w:rPr>
          <w:sz w:val="26"/>
          <w:szCs w:val="26"/>
        </w:rPr>
        <w:t>18,8</w:t>
      </w:r>
      <w:r w:rsidR="0022266F" w:rsidRPr="00DC7730">
        <w:rPr>
          <w:sz w:val="26"/>
          <w:szCs w:val="26"/>
        </w:rPr>
        <w:t xml:space="preserve">%, </w:t>
      </w:r>
      <w:r w:rsidR="00184C4D" w:rsidRPr="00DC7730">
        <w:rPr>
          <w:sz w:val="26"/>
          <w:szCs w:val="26"/>
        </w:rPr>
        <w:t>1100</w:t>
      </w:r>
      <w:r w:rsidRPr="00DC7730">
        <w:rPr>
          <w:sz w:val="26"/>
          <w:szCs w:val="26"/>
        </w:rPr>
        <w:t xml:space="preserve"> «</w:t>
      </w:r>
      <w:r w:rsidR="00184C4D" w:rsidRPr="00DC7730">
        <w:rPr>
          <w:sz w:val="26"/>
          <w:szCs w:val="26"/>
        </w:rPr>
        <w:t>Физическая культура и спорт</w:t>
      </w:r>
      <w:r w:rsidRPr="00DC7730">
        <w:rPr>
          <w:sz w:val="26"/>
          <w:szCs w:val="26"/>
        </w:rPr>
        <w:t xml:space="preserve">» - </w:t>
      </w:r>
      <w:r w:rsidR="00F9149A" w:rsidRPr="00DC7730">
        <w:rPr>
          <w:sz w:val="26"/>
          <w:szCs w:val="26"/>
        </w:rPr>
        <w:t>53,0</w:t>
      </w:r>
      <w:r w:rsidR="0022266F" w:rsidRPr="00DC7730">
        <w:rPr>
          <w:sz w:val="26"/>
          <w:szCs w:val="26"/>
        </w:rPr>
        <w:t xml:space="preserve"> процента.</w:t>
      </w:r>
      <w:r w:rsidRPr="00DC7730">
        <w:rPr>
          <w:sz w:val="26"/>
          <w:szCs w:val="26"/>
        </w:rPr>
        <w:t xml:space="preserve"> </w:t>
      </w:r>
    </w:p>
    <w:p w:rsidR="00594EB6" w:rsidRPr="00DC7730" w:rsidRDefault="00594EB6" w:rsidP="007E257F">
      <w:pPr>
        <w:spacing w:line="276" w:lineRule="auto"/>
        <w:ind w:firstLine="709"/>
        <w:jc w:val="right"/>
        <w:rPr>
          <w:sz w:val="16"/>
          <w:szCs w:val="16"/>
        </w:rPr>
      </w:pPr>
      <w:r w:rsidRPr="00DC7730">
        <w:rPr>
          <w:sz w:val="26"/>
          <w:szCs w:val="26"/>
        </w:rPr>
        <w:t>Таблица 2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992"/>
        <w:gridCol w:w="992"/>
        <w:gridCol w:w="992"/>
        <w:gridCol w:w="1134"/>
      </w:tblGrid>
      <w:tr w:rsidR="00DC7730" w:rsidRPr="00DC7730" w:rsidTr="001C3C91">
        <w:trPr>
          <w:trHeight w:val="402"/>
        </w:trPr>
        <w:tc>
          <w:tcPr>
            <w:tcW w:w="6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702E5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Наименование главного распорядителя бюджетных средств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594EB6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EB6" w:rsidRPr="00DC7730" w:rsidRDefault="00594EB6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Процент исполнения (%)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594EB6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Отклонение</w:t>
            </w:r>
          </w:p>
        </w:tc>
      </w:tr>
      <w:tr w:rsidR="00DC7730" w:rsidRPr="00DC7730" w:rsidTr="001C3C91">
        <w:trPr>
          <w:trHeight w:val="402"/>
        </w:trPr>
        <w:tc>
          <w:tcPr>
            <w:tcW w:w="6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DC7730" w:rsidRDefault="00594EB6" w:rsidP="007E25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DC7730" w:rsidRDefault="00594EB6" w:rsidP="007E25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9 месяцев</w:t>
            </w:r>
            <w:r w:rsidR="00594EB6" w:rsidRPr="00DC7730">
              <w:rPr>
                <w:sz w:val="16"/>
                <w:szCs w:val="16"/>
              </w:rPr>
              <w:t xml:space="preserve"> 2014</w:t>
            </w:r>
            <w:r w:rsidR="00702E58" w:rsidRPr="00DC7730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9 месяцев</w:t>
            </w:r>
            <w:r w:rsidR="00594EB6" w:rsidRPr="00DC7730">
              <w:rPr>
                <w:sz w:val="16"/>
                <w:szCs w:val="16"/>
              </w:rPr>
              <w:t xml:space="preserve"> 2015 </w:t>
            </w:r>
            <w:r w:rsidR="00702E58" w:rsidRPr="00DC7730">
              <w:rPr>
                <w:sz w:val="16"/>
                <w:szCs w:val="16"/>
              </w:rPr>
              <w:t>года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4EB6" w:rsidRPr="00DC7730" w:rsidRDefault="00594EB6" w:rsidP="007E257F">
            <w:pPr>
              <w:rPr>
                <w:sz w:val="16"/>
                <w:szCs w:val="16"/>
              </w:rPr>
            </w:pPr>
          </w:p>
        </w:tc>
      </w:tr>
      <w:tr w:rsidR="00DC7730" w:rsidRPr="00DC7730" w:rsidTr="001C3C91">
        <w:trPr>
          <w:trHeight w:val="238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DC7730" w:rsidRDefault="00544C2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DC7730" w:rsidRDefault="00544C2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DC7730" w:rsidRDefault="00544C2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DC7730" w:rsidRDefault="00544C2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C28" w:rsidRPr="00DC7730" w:rsidRDefault="00544C28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5=4-3</w:t>
            </w:r>
          </w:p>
        </w:tc>
      </w:tr>
      <w:tr w:rsidR="00DC7730" w:rsidRPr="00DC7730" w:rsidTr="001C3C91">
        <w:trPr>
          <w:trHeight w:val="238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594EB6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Вологодская городская Дума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594EB6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EB6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EB6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-1,6</w:t>
            </w:r>
          </w:p>
        </w:tc>
      </w:tr>
      <w:tr w:rsidR="00DC7730" w:rsidRPr="00DC7730" w:rsidTr="001C3C91">
        <w:trPr>
          <w:trHeight w:val="407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Управление физической культуры и массового спорта Администрации города</w:t>
            </w:r>
            <w:r w:rsidR="001C3C91" w:rsidRPr="00DC7730">
              <w:rPr>
                <w:sz w:val="16"/>
                <w:szCs w:val="16"/>
              </w:rPr>
              <w:t xml:space="preserve"> </w:t>
            </w:r>
            <w:r w:rsidRPr="00DC7730">
              <w:rPr>
                <w:sz w:val="16"/>
                <w:szCs w:val="16"/>
              </w:rPr>
              <w:t>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-13,2</w:t>
            </w:r>
          </w:p>
        </w:tc>
      </w:tr>
      <w:tr w:rsidR="00DC7730" w:rsidRPr="00DC7730" w:rsidTr="001C3C91">
        <w:trPr>
          <w:trHeight w:val="411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Управление культуры и историко-культурного наследия Администрации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-0,1</w:t>
            </w:r>
          </w:p>
        </w:tc>
      </w:tr>
      <w:tr w:rsidR="00DC7730" w:rsidRPr="00DC7730" w:rsidTr="001C3C91">
        <w:trPr>
          <w:trHeight w:val="1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Управление социальной защиты Администрации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11,5</w:t>
            </w:r>
          </w:p>
        </w:tc>
      </w:tr>
      <w:tr w:rsidR="00DC7730" w:rsidRPr="00DC7730" w:rsidTr="001C3C91">
        <w:trPr>
          <w:trHeight w:val="19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Управление образования Администрации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-0,6</w:t>
            </w:r>
          </w:p>
        </w:tc>
      </w:tr>
      <w:tr w:rsidR="00DC7730" w:rsidRPr="00DC7730" w:rsidTr="001C3C91">
        <w:trPr>
          <w:trHeight w:val="296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Департамент градостроительства и инфраструктуры Администрации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5,0</w:t>
            </w:r>
          </w:p>
        </w:tc>
      </w:tr>
      <w:tr w:rsidR="00DC7730" w:rsidRPr="00DC7730" w:rsidTr="001C3C91">
        <w:trPr>
          <w:trHeight w:val="189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Контрольно-счетная палата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4,9</w:t>
            </w:r>
          </w:p>
        </w:tc>
      </w:tr>
      <w:tr w:rsidR="00DC7730" w:rsidRPr="00DC7730" w:rsidTr="001C3C91">
        <w:trPr>
          <w:trHeight w:val="161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Администрация города Вологды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-13,0</w:t>
            </w:r>
          </w:p>
        </w:tc>
      </w:tr>
      <w:tr w:rsidR="00DC7730" w:rsidRPr="00DC7730" w:rsidTr="001C3C91">
        <w:trPr>
          <w:trHeight w:val="111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84267D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67D" w:rsidRPr="00DC7730" w:rsidRDefault="000B62E0" w:rsidP="007E257F">
            <w:pPr>
              <w:jc w:val="center"/>
              <w:rPr>
                <w:sz w:val="16"/>
                <w:szCs w:val="16"/>
              </w:rPr>
            </w:pPr>
            <w:r w:rsidRPr="00DC7730">
              <w:rPr>
                <w:sz w:val="16"/>
                <w:szCs w:val="16"/>
              </w:rPr>
              <w:t>1,4</w:t>
            </w:r>
          </w:p>
        </w:tc>
      </w:tr>
    </w:tbl>
    <w:p w:rsidR="001C3C91" w:rsidRPr="00DC7730" w:rsidRDefault="001C3C91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Исполнение бюджетных назначений в ведомственной структуре расходов по Вологодской городской Думе, Управлению физической культуры и массового спорта Администрации города Вологды, Управлению культуры и историко-культурного наследия Администрации города Вологды, Управлению образования Администрации города Вологды, Администрации города Вологды сложилось ниже, чем за аналогичный период 2014 года (таблица 2).</w:t>
      </w:r>
    </w:p>
    <w:p w:rsidR="007A4AB4" w:rsidRPr="00DC7730" w:rsidRDefault="00594EB6" w:rsidP="007E257F">
      <w:pPr>
        <w:spacing w:line="276" w:lineRule="auto"/>
        <w:ind w:firstLine="708"/>
        <w:jc w:val="both"/>
        <w:rPr>
          <w:sz w:val="26"/>
          <w:szCs w:val="26"/>
        </w:rPr>
      </w:pPr>
      <w:r w:rsidRPr="00DC7730">
        <w:rPr>
          <w:iCs/>
          <w:sz w:val="26"/>
          <w:szCs w:val="26"/>
        </w:rPr>
        <w:t>Бюджетные ассигнования на</w:t>
      </w:r>
      <w:r w:rsidRPr="00DC7730">
        <w:rPr>
          <w:sz w:val="26"/>
          <w:szCs w:val="26"/>
        </w:rPr>
        <w:t xml:space="preserve"> реализацию </w:t>
      </w:r>
      <w:r w:rsidRPr="00DC7730">
        <w:rPr>
          <w:i/>
          <w:iCs/>
          <w:sz w:val="26"/>
          <w:szCs w:val="26"/>
        </w:rPr>
        <w:t>муниципальных</w:t>
      </w:r>
      <w:r w:rsidRPr="00DC7730">
        <w:rPr>
          <w:sz w:val="26"/>
          <w:szCs w:val="26"/>
        </w:rPr>
        <w:t xml:space="preserve"> </w:t>
      </w:r>
      <w:r w:rsidRPr="00DC7730">
        <w:rPr>
          <w:i/>
          <w:iCs/>
          <w:sz w:val="26"/>
          <w:szCs w:val="26"/>
        </w:rPr>
        <w:t>программ</w:t>
      </w:r>
      <w:r w:rsidRPr="00DC7730">
        <w:rPr>
          <w:iCs/>
          <w:sz w:val="26"/>
          <w:szCs w:val="26"/>
        </w:rPr>
        <w:t xml:space="preserve"> увеличены за </w:t>
      </w:r>
      <w:r w:rsidR="00D06175" w:rsidRPr="00DC7730">
        <w:rPr>
          <w:iCs/>
          <w:sz w:val="26"/>
          <w:szCs w:val="26"/>
        </w:rPr>
        <w:t>девять месяцев</w:t>
      </w:r>
      <w:r w:rsidRPr="00DC7730">
        <w:rPr>
          <w:iCs/>
          <w:sz w:val="26"/>
          <w:szCs w:val="26"/>
        </w:rPr>
        <w:t xml:space="preserve"> 2015 года на </w:t>
      </w:r>
      <w:r w:rsidR="00D06175" w:rsidRPr="00DC7730">
        <w:rPr>
          <w:iCs/>
          <w:sz w:val="26"/>
          <w:szCs w:val="26"/>
        </w:rPr>
        <w:t>1204,9</w:t>
      </w:r>
      <w:r w:rsidRPr="00DC7730">
        <w:rPr>
          <w:iCs/>
          <w:sz w:val="26"/>
          <w:szCs w:val="26"/>
        </w:rPr>
        <w:t xml:space="preserve"> млн рублей и составили </w:t>
      </w:r>
      <w:r w:rsidR="00D06175" w:rsidRPr="00DC7730">
        <w:rPr>
          <w:iCs/>
          <w:sz w:val="26"/>
          <w:szCs w:val="26"/>
        </w:rPr>
        <w:t>6458,3</w:t>
      </w:r>
      <w:r w:rsidRPr="00DC7730">
        <w:rPr>
          <w:iCs/>
          <w:sz w:val="26"/>
          <w:szCs w:val="26"/>
        </w:rPr>
        <w:t xml:space="preserve"> млн рублей. В отчетном периоде на мероприятия муниципальных</w:t>
      </w:r>
      <w:r w:rsidRPr="00DC7730">
        <w:rPr>
          <w:sz w:val="26"/>
          <w:szCs w:val="26"/>
        </w:rPr>
        <w:t xml:space="preserve"> программ направлено </w:t>
      </w:r>
      <w:r w:rsidR="00347E8E" w:rsidRPr="00DC7730">
        <w:rPr>
          <w:sz w:val="26"/>
          <w:szCs w:val="26"/>
        </w:rPr>
        <w:t>4648,6</w:t>
      </w:r>
      <w:r w:rsidRPr="00DC7730">
        <w:rPr>
          <w:sz w:val="26"/>
          <w:szCs w:val="26"/>
        </w:rPr>
        <w:t xml:space="preserve"> млн рублей, или </w:t>
      </w:r>
      <w:r w:rsidR="00347E8E" w:rsidRPr="00DC7730">
        <w:rPr>
          <w:sz w:val="26"/>
          <w:szCs w:val="26"/>
        </w:rPr>
        <w:t>72,0</w:t>
      </w:r>
      <w:r w:rsidRPr="00DC7730">
        <w:rPr>
          <w:sz w:val="26"/>
          <w:szCs w:val="26"/>
        </w:rPr>
        <w:t xml:space="preserve">% годовых назначений. Из 9 программ свыше </w:t>
      </w:r>
      <w:r w:rsidR="00347E8E" w:rsidRPr="00DC7730">
        <w:rPr>
          <w:sz w:val="26"/>
          <w:szCs w:val="26"/>
        </w:rPr>
        <w:t>75</w:t>
      </w:r>
      <w:r w:rsidRPr="00DC7730">
        <w:rPr>
          <w:sz w:val="26"/>
          <w:szCs w:val="26"/>
        </w:rPr>
        <w:t xml:space="preserve">% годовых назначений </w:t>
      </w:r>
      <w:r w:rsidR="00937085" w:rsidRPr="00DC7730">
        <w:rPr>
          <w:sz w:val="26"/>
          <w:szCs w:val="26"/>
        </w:rPr>
        <w:t xml:space="preserve">профинансирована </w:t>
      </w:r>
      <w:r w:rsidR="007C2E6C" w:rsidRPr="00DC7730">
        <w:rPr>
          <w:sz w:val="26"/>
          <w:szCs w:val="26"/>
        </w:rPr>
        <w:t>только одна программа -</w:t>
      </w:r>
      <w:r w:rsidR="001C3C91" w:rsidRPr="00DC7730">
        <w:rPr>
          <w:sz w:val="26"/>
          <w:szCs w:val="26"/>
        </w:rPr>
        <w:t xml:space="preserve"> </w:t>
      </w:r>
      <w:r w:rsidR="007C2E6C" w:rsidRPr="00DC7730">
        <w:rPr>
          <w:sz w:val="26"/>
          <w:szCs w:val="26"/>
        </w:rPr>
        <w:t>«Социальная поддержка граждан», исполнение которой составило 79,9% годовых назначений. Свыше 70% годовых назначений исполнены муниципальны</w:t>
      </w:r>
      <w:r w:rsidR="00A731B4" w:rsidRPr="00DC7730">
        <w:rPr>
          <w:sz w:val="26"/>
          <w:szCs w:val="26"/>
        </w:rPr>
        <w:t>е</w:t>
      </w:r>
      <w:r w:rsidR="007C2E6C" w:rsidRPr="00DC7730">
        <w:rPr>
          <w:sz w:val="26"/>
          <w:szCs w:val="26"/>
        </w:rPr>
        <w:t xml:space="preserve"> программы «Развитие образования» (73,9%)</w:t>
      </w:r>
      <w:r w:rsidR="00A731B4" w:rsidRPr="00DC7730">
        <w:rPr>
          <w:sz w:val="26"/>
          <w:szCs w:val="26"/>
        </w:rPr>
        <w:t xml:space="preserve">, «Развитие градостроительства и инфраструктуры» (73,7%), «Развитие культуры» (71,9%). </w:t>
      </w:r>
      <w:r w:rsidR="007C2E6C" w:rsidRPr="00DC7730">
        <w:rPr>
          <w:sz w:val="26"/>
          <w:szCs w:val="26"/>
        </w:rPr>
        <w:t>Н</w:t>
      </w:r>
      <w:r w:rsidRPr="00DC7730">
        <w:rPr>
          <w:sz w:val="26"/>
          <w:szCs w:val="26"/>
        </w:rPr>
        <w:t xml:space="preserve">аиболее </w:t>
      </w:r>
      <w:r w:rsidR="00A731B4" w:rsidRPr="00DC7730">
        <w:rPr>
          <w:sz w:val="26"/>
          <w:szCs w:val="26"/>
        </w:rPr>
        <w:t>низкий</w:t>
      </w:r>
      <w:r w:rsidRPr="00DC7730">
        <w:rPr>
          <w:sz w:val="26"/>
          <w:szCs w:val="26"/>
        </w:rPr>
        <w:t xml:space="preserve"> процент исполнения сложился по муниципальной программе </w:t>
      </w:r>
      <w:r w:rsidR="00A731B4" w:rsidRPr="00DC7730">
        <w:rPr>
          <w:sz w:val="26"/>
          <w:szCs w:val="26"/>
        </w:rPr>
        <w:t xml:space="preserve">«Обеспечение общественной безопасности» </w:t>
      </w:r>
      <w:r w:rsidR="007D5A96" w:rsidRPr="00DC7730">
        <w:rPr>
          <w:sz w:val="26"/>
          <w:szCs w:val="26"/>
        </w:rPr>
        <w:t xml:space="preserve">- </w:t>
      </w:r>
      <w:r w:rsidR="00A731B4" w:rsidRPr="00DC7730">
        <w:rPr>
          <w:sz w:val="26"/>
          <w:szCs w:val="26"/>
        </w:rPr>
        <w:t>36,7 процента.</w:t>
      </w:r>
      <w:r w:rsidRPr="00DC7730">
        <w:rPr>
          <w:sz w:val="26"/>
          <w:szCs w:val="26"/>
        </w:rPr>
        <w:t xml:space="preserve"> В общем объеме кассовых расходов программные расходы составили 8</w:t>
      </w:r>
      <w:r w:rsidR="00A731B4" w:rsidRPr="00DC7730">
        <w:rPr>
          <w:sz w:val="26"/>
          <w:szCs w:val="26"/>
        </w:rPr>
        <w:t>6,3</w:t>
      </w:r>
      <w:r w:rsidR="00855D80" w:rsidRPr="00DC7730">
        <w:rPr>
          <w:sz w:val="26"/>
          <w:szCs w:val="26"/>
        </w:rPr>
        <w:t xml:space="preserve"> процента.</w:t>
      </w:r>
      <w:r w:rsidR="007A4AB4" w:rsidRPr="00DC7730">
        <w:rPr>
          <w:sz w:val="26"/>
          <w:szCs w:val="26"/>
        </w:rPr>
        <w:t xml:space="preserve"> </w:t>
      </w:r>
    </w:p>
    <w:p w:rsidR="00594EB6" w:rsidRPr="00DC7730" w:rsidRDefault="00594EB6" w:rsidP="007E257F">
      <w:pPr>
        <w:spacing w:line="276" w:lineRule="auto"/>
        <w:ind w:firstLine="708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Исполнение бюджетных назначений в рамках реализации непрограммных направлений </w:t>
      </w:r>
      <w:r w:rsidR="00855D80" w:rsidRPr="00DC7730">
        <w:rPr>
          <w:sz w:val="26"/>
          <w:szCs w:val="26"/>
        </w:rPr>
        <w:t xml:space="preserve">расходов </w:t>
      </w:r>
      <w:r w:rsidRPr="00DC7730">
        <w:rPr>
          <w:sz w:val="26"/>
          <w:szCs w:val="26"/>
        </w:rPr>
        <w:t>составил</w:t>
      </w:r>
      <w:r w:rsidR="00855D80" w:rsidRPr="00DC7730">
        <w:rPr>
          <w:sz w:val="26"/>
          <w:szCs w:val="26"/>
        </w:rPr>
        <w:t>о</w:t>
      </w:r>
      <w:r w:rsidRPr="00DC7730">
        <w:rPr>
          <w:sz w:val="26"/>
          <w:szCs w:val="26"/>
        </w:rPr>
        <w:t xml:space="preserve"> </w:t>
      </w:r>
      <w:r w:rsidR="001C3C91" w:rsidRPr="00DC7730">
        <w:rPr>
          <w:sz w:val="26"/>
          <w:szCs w:val="26"/>
        </w:rPr>
        <w:t>740,8</w:t>
      </w:r>
      <w:r w:rsidRPr="00DC7730">
        <w:rPr>
          <w:sz w:val="26"/>
          <w:szCs w:val="26"/>
        </w:rPr>
        <w:t xml:space="preserve"> млн рублей</w:t>
      </w:r>
      <w:r w:rsidR="00855D80" w:rsidRPr="00DC7730">
        <w:rPr>
          <w:sz w:val="26"/>
          <w:szCs w:val="26"/>
        </w:rPr>
        <w:t>,</w:t>
      </w:r>
      <w:r w:rsidRPr="00DC7730">
        <w:rPr>
          <w:sz w:val="26"/>
          <w:szCs w:val="26"/>
        </w:rPr>
        <w:t xml:space="preserve"> или </w:t>
      </w:r>
      <w:r w:rsidR="001C3C91" w:rsidRPr="00DC7730">
        <w:rPr>
          <w:sz w:val="26"/>
          <w:szCs w:val="26"/>
        </w:rPr>
        <w:t>61,3</w:t>
      </w:r>
      <w:r w:rsidRPr="00DC7730">
        <w:rPr>
          <w:sz w:val="26"/>
          <w:szCs w:val="26"/>
        </w:rPr>
        <w:t xml:space="preserve">% годовых назначений. </w:t>
      </w:r>
    </w:p>
    <w:p w:rsidR="00594EB6" w:rsidRPr="00DC7730" w:rsidRDefault="00594EB6" w:rsidP="007E257F">
      <w:pPr>
        <w:spacing w:line="276" w:lineRule="auto"/>
        <w:ind w:firstLine="708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На исполнение публичных нормативных обязательств направлено </w:t>
      </w:r>
      <w:r w:rsidR="001A48DB" w:rsidRPr="00DC7730">
        <w:rPr>
          <w:sz w:val="26"/>
          <w:szCs w:val="26"/>
        </w:rPr>
        <w:t>57,5</w:t>
      </w:r>
      <w:r w:rsidR="00855D80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млн рублей, или </w:t>
      </w:r>
      <w:r w:rsidR="00A763AD" w:rsidRPr="00DC7730">
        <w:rPr>
          <w:sz w:val="26"/>
          <w:szCs w:val="26"/>
        </w:rPr>
        <w:t>61,6%</w:t>
      </w:r>
      <w:r w:rsidR="00775A66" w:rsidRPr="00DC7730">
        <w:rPr>
          <w:sz w:val="26"/>
          <w:szCs w:val="26"/>
        </w:rPr>
        <w:t xml:space="preserve"> </w:t>
      </w:r>
      <w:r w:rsidRPr="00DC7730">
        <w:rPr>
          <w:sz w:val="26"/>
          <w:szCs w:val="26"/>
        </w:rPr>
        <w:t>годовых назначений, из них за счет безвозмездных поступлений от други</w:t>
      </w:r>
      <w:r w:rsidR="005A2CEF" w:rsidRPr="00DC7730">
        <w:rPr>
          <w:sz w:val="26"/>
          <w:szCs w:val="26"/>
        </w:rPr>
        <w:t>х</w:t>
      </w:r>
      <w:r w:rsidRPr="00DC7730">
        <w:rPr>
          <w:sz w:val="26"/>
          <w:szCs w:val="26"/>
        </w:rPr>
        <w:t xml:space="preserve"> бюджетов </w:t>
      </w:r>
      <w:r w:rsidR="00A763AD" w:rsidRPr="00DC7730">
        <w:rPr>
          <w:sz w:val="26"/>
          <w:szCs w:val="26"/>
        </w:rPr>
        <w:t>43,2</w:t>
      </w:r>
      <w:r w:rsidRPr="00DC7730">
        <w:rPr>
          <w:sz w:val="26"/>
          <w:szCs w:val="26"/>
        </w:rPr>
        <w:t xml:space="preserve"> млн рублей.  </w:t>
      </w:r>
    </w:p>
    <w:p w:rsidR="0018403B" w:rsidRPr="00DC7730" w:rsidRDefault="0018403B" w:rsidP="007E25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b/>
          <w:i/>
          <w:sz w:val="26"/>
          <w:szCs w:val="26"/>
        </w:rPr>
        <w:t>Дефицит бюджета</w:t>
      </w:r>
      <w:r w:rsidRPr="00DC7730">
        <w:rPr>
          <w:sz w:val="26"/>
          <w:szCs w:val="26"/>
        </w:rPr>
        <w:t xml:space="preserve"> города по итогам </w:t>
      </w:r>
      <w:r w:rsidR="00866250" w:rsidRPr="00DC7730">
        <w:rPr>
          <w:sz w:val="26"/>
          <w:szCs w:val="26"/>
        </w:rPr>
        <w:t>девяти</w:t>
      </w:r>
      <w:r w:rsidRPr="00DC7730">
        <w:rPr>
          <w:sz w:val="26"/>
          <w:szCs w:val="26"/>
        </w:rPr>
        <w:t xml:space="preserve"> месяцев 2015 года составил </w:t>
      </w:r>
      <w:r w:rsidRPr="00DC7730">
        <w:rPr>
          <w:b/>
          <w:i/>
          <w:sz w:val="26"/>
          <w:szCs w:val="26"/>
        </w:rPr>
        <w:t>245,5</w:t>
      </w:r>
      <w:r w:rsidRPr="00DC7730">
        <w:rPr>
          <w:sz w:val="26"/>
          <w:szCs w:val="26"/>
        </w:rPr>
        <w:t xml:space="preserve"> млн рублей при утвержденных годовых назначениях 295,2 млн рублей, или 83,2 процента.  </w:t>
      </w:r>
    </w:p>
    <w:p w:rsidR="0018403B" w:rsidRPr="00DC7730" w:rsidRDefault="0018403B" w:rsidP="007E257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Статьей 92.1 Бюджетного кодекса РФ установлен предельный объем дефицита местного бюджета, который не должен превышать 10% утвержденного годового объема </w:t>
      </w:r>
      <w:r w:rsidRPr="00DC7730">
        <w:rPr>
          <w:sz w:val="26"/>
          <w:szCs w:val="26"/>
        </w:rPr>
        <w:lastRenderedPageBreak/>
        <w:t>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Динамика поступлений налоговых и неналоговых доходов (63,6% годовых назначений), сформировавшийся по итогам </w:t>
      </w:r>
      <w:r w:rsidR="00866250" w:rsidRPr="00DC7730">
        <w:rPr>
          <w:sz w:val="26"/>
          <w:szCs w:val="26"/>
        </w:rPr>
        <w:t>девяти</w:t>
      </w:r>
      <w:r w:rsidRPr="00DC7730">
        <w:rPr>
          <w:sz w:val="26"/>
          <w:szCs w:val="26"/>
        </w:rPr>
        <w:t xml:space="preserve"> месяцев 2015 года размер дефицита бюджета (11,6% объема поступлений налоговых и неналоговых доходов без учета поступлений по дополнительным нормативам и 83,2% годовых назначений) вызывает определенную обеспокоенность по поводу соблюдения принципа сбалансированности бюджета города, установленного статьей 33 Бюджетного кодекса РФ, и соблюдения принципа достоверности бюджета, установленного статьей 37 Бюджетного кодекса РФ, в части реалистичности расчета доходов бюджета.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Следует отметить, что превышение по данным годового отчета об исполнении бюджета ограничений, установленных статьей 92.1 Бюджетного кодекса РФ, является нарушением бюджетного законодательства РФ и влечет применение мер принуждения. 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В составе </w:t>
      </w:r>
      <w:r w:rsidRPr="00DC7730">
        <w:rPr>
          <w:b/>
          <w:i/>
          <w:sz w:val="26"/>
          <w:szCs w:val="26"/>
        </w:rPr>
        <w:t>источников финансирования дефицита бюджета</w:t>
      </w:r>
      <w:r w:rsidRPr="00DC7730">
        <w:rPr>
          <w:sz w:val="26"/>
          <w:szCs w:val="26"/>
        </w:rPr>
        <w:t xml:space="preserve"> города отражено привлечение кредитов от кредитных организаций в объеме 2245,7 млн рублей, бюджетных кредитов в размере 1261,6 млн рублей, средства бюджетных и автономных учреждений в сумме 49,0 млн рублей. За </w:t>
      </w:r>
      <w:r w:rsidR="00866250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т.г. погашено 2135,7 млн рублей кредитов кредитных организаций, 1261,6 млн рублей бюджетных кредитов.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Программой муниципальных внутренних заимствований на 2015 год предусмотрено привлечение средств кредитных организаций в сумме 1616,0 млн рублей, бюджетных кредитов - 260,8 млн рублей, погашение основной суммы задолженности в сумме 1400,0 млн рублей и 260,8 млн рублей соответственно.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Остаток средств на счете бюджета города уменьшился по сравнению с началом года на 86,5 млн рублей и на 01.10.2015  составил 44,5 млн рублей, в том числе за счет средств муниципальных автономных и бюджетных учреждений.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b/>
          <w:i/>
          <w:sz w:val="26"/>
          <w:szCs w:val="26"/>
        </w:rPr>
        <w:t xml:space="preserve"> Муниципальный долг</w:t>
      </w:r>
      <w:r w:rsidRPr="00DC7730">
        <w:rPr>
          <w:sz w:val="26"/>
          <w:szCs w:val="26"/>
        </w:rPr>
        <w:t xml:space="preserve"> уменьшился за </w:t>
      </w:r>
      <w:r w:rsidR="00866250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на 64,2 млн рублей и по состоянию на 01.10.2015 составил </w:t>
      </w:r>
      <w:r w:rsidRPr="00DC7730">
        <w:rPr>
          <w:b/>
          <w:i/>
          <w:sz w:val="26"/>
          <w:szCs w:val="26"/>
        </w:rPr>
        <w:t>1877,7</w:t>
      </w:r>
      <w:r w:rsidRPr="00DC7730">
        <w:rPr>
          <w:sz w:val="26"/>
          <w:szCs w:val="26"/>
        </w:rPr>
        <w:t xml:space="preserve"> млн рублей, в сравнении с аналогичной датой предыдущего года уменьшился на 290,8 млн рублей (на 13,4%). Муниципальный долг состоит из задолженности по кредитам от кредитных организаций в сумме 1350,0  млн рублей, которая увеличилась с начала года на 110,0 млн рублей и обязательств по муниципальным гарантиям в объеме 527,7 млн рублей, которые сократились за </w:t>
      </w:r>
      <w:r w:rsidR="004D5962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на 174,2 млн рублей. </w:t>
      </w:r>
    </w:p>
    <w:p w:rsidR="0018403B" w:rsidRPr="00DC7730" w:rsidRDefault="0018403B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Расходы по обслуживанию долговых обязательств за </w:t>
      </w:r>
      <w:r w:rsidR="00570130" w:rsidRPr="00DC7730">
        <w:rPr>
          <w:sz w:val="26"/>
          <w:szCs w:val="26"/>
        </w:rPr>
        <w:t xml:space="preserve">девять </w:t>
      </w:r>
      <w:r w:rsidRPr="00DC7730">
        <w:rPr>
          <w:sz w:val="26"/>
          <w:szCs w:val="26"/>
        </w:rPr>
        <w:t xml:space="preserve">месяцев т.г. составили 129,6 млн рублей, или 67,7% от утвержденных годовых назначений. </w:t>
      </w:r>
    </w:p>
    <w:p w:rsidR="00D049E0" w:rsidRPr="00DC7730" w:rsidRDefault="00043428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Согласно оперативным данным</w:t>
      </w:r>
      <w:r w:rsidRPr="00DC7730">
        <w:rPr>
          <w:i/>
          <w:sz w:val="26"/>
          <w:szCs w:val="26"/>
        </w:rPr>
        <w:t xml:space="preserve"> </w:t>
      </w:r>
      <w:r w:rsidRPr="00DC7730">
        <w:rPr>
          <w:b/>
          <w:i/>
          <w:sz w:val="26"/>
          <w:szCs w:val="26"/>
        </w:rPr>
        <w:t>к</w:t>
      </w:r>
      <w:r w:rsidR="00624026" w:rsidRPr="00DC7730">
        <w:rPr>
          <w:b/>
          <w:i/>
          <w:sz w:val="26"/>
          <w:szCs w:val="26"/>
        </w:rPr>
        <w:t>редиторская задолженность</w:t>
      </w:r>
      <w:r w:rsidR="00624026" w:rsidRPr="00DC7730">
        <w:rPr>
          <w:sz w:val="26"/>
          <w:szCs w:val="26"/>
        </w:rPr>
        <w:t xml:space="preserve"> </w:t>
      </w:r>
      <w:r w:rsidR="00E02A42" w:rsidRPr="00DC7730">
        <w:rPr>
          <w:sz w:val="26"/>
          <w:szCs w:val="26"/>
        </w:rPr>
        <w:t>по состоянию</w:t>
      </w:r>
      <w:r w:rsidR="00594692" w:rsidRPr="00DC7730">
        <w:rPr>
          <w:sz w:val="26"/>
          <w:szCs w:val="26"/>
        </w:rPr>
        <w:t xml:space="preserve"> </w:t>
      </w:r>
      <w:r w:rsidR="00624026" w:rsidRPr="00DC7730">
        <w:rPr>
          <w:sz w:val="26"/>
          <w:szCs w:val="26"/>
        </w:rPr>
        <w:t xml:space="preserve">на </w:t>
      </w:r>
      <w:r w:rsidR="000D0821" w:rsidRPr="00DC7730">
        <w:rPr>
          <w:sz w:val="26"/>
          <w:szCs w:val="26"/>
        </w:rPr>
        <w:t xml:space="preserve">01.10.2015 составила </w:t>
      </w:r>
      <w:r w:rsidR="004F7D11" w:rsidRPr="00DC7730">
        <w:rPr>
          <w:sz w:val="26"/>
          <w:szCs w:val="26"/>
        </w:rPr>
        <w:t>714,7</w:t>
      </w:r>
      <w:r w:rsidR="000D0821" w:rsidRPr="00DC7730">
        <w:rPr>
          <w:sz w:val="26"/>
          <w:szCs w:val="26"/>
        </w:rPr>
        <w:t xml:space="preserve"> млн рублей</w:t>
      </w:r>
      <w:r w:rsidR="004A432B" w:rsidRPr="00DC7730">
        <w:rPr>
          <w:sz w:val="26"/>
          <w:szCs w:val="26"/>
        </w:rPr>
        <w:t xml:space="preserve"> (на 01.</w:t>
      </w:r>
      <w:r w:rsidR="00A5462A" w:rsidRPr="00DC7730">
        <w:rPr>
          <w:sz w:val="26"/>
          <w:szCs w:val="26"/>
        </w:rPr>
        <w:t>1</w:t>
      </w:r>
      <w:r w:rsidR="004A432B" w:rsidRPr="00DC7730">
        <w:rPr>
          <w:sz w:val="26"/>
          <w:szCs w:val="26"/>
        </w:rPr>
        <w:t xml:space="preserve">0.2014 </w:t>
      </w:r>
      <w:r w:rsidR="00A5462A" w:rsidRPr="00DC7730">
        <w:rPr>
          <w:sz w:val="26"/>
          <w:szCs w:val="26"/>
        </w:rPr>
        <w:t>–</w:t>
      </w:r>
      <w:r w:rsidR="004A432B" w:rsidRPr="00DC7730">
        <w:rPr>
          <w:sz w:val="26"/>
          <w:szCs w:val="26"/>
        </w:rPr>
        <w:t xml:space="preserve"> </w:t>
      </w:r>
      <w:r w:rsidR="00A5462A" w:rsidRPr="00DC7730">
        <w:rPr>
          <w:sz w:val="26"/>
          <w:szCs w:val="26"/>
        </w:rPr>
        <w:t xml:space="preserve">1090,9 млн рублей), </w:t>
      </w:r>
      <w:r w:rsidR="004F7D11" w:rsidRPr="00DC7730">
        <w:rPr>
          <w:sz w:val="26"/>
          <w:szCs w:val="26"/>
        </w:rPr>
        <w:t>сократилась</w:t>
      </w:r>
      <w:r w:rsidR="00A5462A" w:rsidRPr="00DC7730">
        <w:rPr>
          <w:sz w:val="26"/>
          <w:szCs w:val="26"/>
        </w:rPr>
        <w:t xml:space="preserve"> за девять месяцев</w:t>
      </w:r>
      <w:r w:rsidR="004F7D11" w:rsidRPr="00DC7730">
        <w:rPr>
          <w:sz w:val="26"/>
          <w:szCs w:val="26"/>
        </w:rPr>
        <w:t xml:space="preserve"> на 338,0 млн рублей. Как и прежде о</w:t>
      </w:r>
      <w:r w:rsidR="00A47FEC" w:rsidRPr="00DC7730">
        <w:rPr>
          <w:sz w:val="26"/>
          <w:szCs w:val="26"/>
        </w:rPr>
        <w:t xml:space="preserve">сновную долю </w:t>
      </w:r>
      <w:r w:rsidR="00E31D9E" w:rsidRPr="00DC7730">
        <w:rPr>
          <w:sz w:val="26"/>
          <w:szCs w:val="26"/>
        </w:rPr>
        <w:t>(</w:t>
      </w:r>
      <w:r w:rsidR="004F7D11" w:rsidRPr="00DC7730">
        <w:rPr>
          <w:sz w:val="26"/>
          <w:szCs w:val="26"/>
        </w:rPr>
        <w:t>94,1</w:t>
      </w:r>
      <w:r w:rsidR="00E31D9E" w:rsidRPr="00DC7730">
        <w:rPr>
          <w:sz w:val="26"/>
          <w:szCs w:val="26"/>
        </w:rPr>
        <w:t xml:space="preserve">%) </w:t>
      </w:r>
      <w:r w:rsidR="00A47FEC" w:rsidRPr="00DC7730">
        <w:rPr>
          <w:sz w:val="26"/>
          <w:szCs w:val="26"/>
        </w:rPr>
        <w:t>составляют долги по капитальному строительству и жилищно-коммунальному хозяйству</w:t>
      </w:r>
      <w:r w:rsidR="004F7D11" w:rsidRPr="00DC7730">
        <w:rPr>
          <w:sz w:val="26"/>
          <w:szCs w:val="26"/>
        </w:rPr>
        <w:t xml:space="preserve"> города </w:t>
      </w:r>
      <w:r w:rsidR="00D049E0" w:rsidRPr="00DC7730">
        <w:rPr>
          <w:sz w:val="26"/>
          <w:szCs w:val="26"/>
        </w:rPr>
        <w:t xml:space="preserve">– </w:t>
      </w:r>
      <w:r w:rsidR="004F7D11" w:rsidRPr="00DC7730">
        <w:rPr>
          <w:sz w:val="26"/>
          <w:szCs w:val="26"/>
        </w:rPr>
        <w:t>672,6</w:t>
      </w:r>
      <w:r w:rsidR="00A47FEC" w:rsidRPr="00DC7730">
        <w:rPr>
          <w:sz w:val="26"/>
          <w:szCs w:val="26"/>
        </w:rPr>
        <w:t xml:space="preserve"> млн рублей</w:t>
      </w:r>
      <w:r w:rsidR="00F26047" w:rsidRPr="00DC7730">
        <w:rPr>
          <w:sz w:val="26"/>
          <w:szCs w:val="26"/>
        </w:rPr>
        <w:t>,</w:t>
      </w:r>
      <w:r w:rsidR="00167562" w:rsidRPr="00DC7730">
        <w:rPr>
          <w:sz w:val="26"/>
          <w:szCs w:val="26"/>
        </w:rPr>
        <w:t xml:space="preserve"> </w:t>
      </w:r>
      <w:r w:rsidR="00F26047" w:rsidRPr="00DC7730">
        <w:rPr>
          <w:sz w:val="26"/>
          <w:szCs w:val="26"/>
        </w:rPr>
        <w:t xml:space="preserve">которые </w:t>
      </w:r>
      <w:r w:rsidR="009F1474" w:rsidRPr="00DC7730">
        <w:rPr>
          <w:sz w:val="26"/>
          <w:szCs w:val="26"/>
        </w:rPr>
        <w:t>сократились</w:t>
      </w:r>
      <w:r w:rsidR="00167562" w:rsidRPr="00DC7730">
        <w:rPr>
          <w:sz w:val="26"/>
          <w:szCs w:val="26"/>
        </w:rPr>
        <w:t xml:space="preserve"> за </w:t>
      </w:r>
      <w:r w:rsidR="00E02A42" w:rsidRPr="00DC7730">
        <w:rPr>
          <w:sz w:val="26"/>
          <w:szCs w:val="26"/>
        </w:rPr>
        <w:t>отчетный период</w:t>
      </w:r>
      <w:r w:rsidR="00167562" w:rsidRPr="00DC7730">
        <w:rPr>
          <w:sz w:val="26"/>
          <w:szCs w:val="26"/>
        </w:rPr>
        <w:t xml:space="preserve"> на </w:t>
      </w:r>
      <w:r w:rsidR="004F7D11" w:rsidRPr="00DC7730">
        <w:rPr>
          <w:sz w:val="26"/>
          <w:szCs w:val="26"/>
        </w:rPr>
        <w:t>287,5</w:t>
      </w:r>
      <w:r w:rsidR="00167562" w:rsidRPr="00DC7730">
        <w:rPr>
          <w:sz w:val="26"/>
          <w:szCs w:val="26"/>
        </w:rPr>
        <w:t xml:space="preserve"> млн рублей.</w:t>
      </w:r>
      <w:r w:rsidR="00AC3AC4" w:rsidRPr="00DC7730">
        <w:rPr>
          <w:sz w:val="26"/>
          <w:szCs w:val="26"/>
        </w:rPr>
        <w:t xml:space="preserve"> </w:t>
      </w:r>
      <w:r w:rsidR="004027CA" w:rsidRPr="00DC7730">
        <w:rPr>
          <w:sz w:val="26"/>
          <w:szCs w:val="26"/>
        </w:rPr>
        <w:t>Имеется п</w:t>
      </w:r>
      <w:r w:rsidR="00AC3AC4" w:rsidRPr="00DC7730">
        <w:rPr>
          <w:sz w:val="26"/>
          <w:szCs w:val="26"/>
        </w:rPr>
        <w:t xml:space="preserve">росроченная кредиторская задолженность </w:t>
      </w:r>
      <w:r w:rsidR="004027CA" w:rsidRPr="00DC7730">
        <w:rPr>
          <w:sz w:val="26"/>
          <w:szCs w:val="26"/>
        </w:rPr>
        <w:t xml:space="preserve">в сумме </w:t>
      </w:r>
      <w:r w:rsidR="004F7D11" w:rsidRPr="00DC7730">
        <w:rPr>
          <w:sz w:val="26"/>
          <w:szCs w:val="26"/>
        </w:rPr>
        <w:t>93,7</w:t>
      </w:r>
      <w:r w:rsidR="00AC3AC4" w:rsidRPr="00DC7730">
        <w:rPr>
          <w:sz w:val="26"/>
          <w:szCs w:val="26"/>
        </w:rPr>
        <w:t xml:space="preserve"> млн рублей</w:t>
      </w:r>
      <w:r w:rsidR="00D049E0" w:rsidRPr="00DC7730">
        <w:rPr>
          <w:sz w:val="26"/>
          <w:szCs w:val="26"/>
        </w:rPr>
        <w:t xml:space="preserve"> (по состоянию на 01.</w:t>
      </w:r>
      <w:r w:rsidR="004F7D11" w:rsidRPr="00DC7730">
        <w:rPr>
          <w:sz w:val="26"/>
          <w:szCs w:val="26"/>
        </w:rPr>
        <w:t>1</w:t>
      </w:r>
      <w:r w:rsidR="00505D7E" w:rsidRPr="00DC7730">
        <w:rPr>
          <w:sz w:val="26"/>
          <w:szCs w:val="26"/>
        </w:rPr>
        <w:t>0</w:t>
      </w:r>
      <w:r w:rsidR="00D049E0" w:rsidRPr="00DC7730">
        <w:rPr>
          <w:sz w:val="26"/>
          <w:szCs w:val="26"/>
        </w:rPr>
        <w:t>.201</w:t>
      </w:r>
      <w:r w:rsidR="00505D7E" w:rsidRPr="00DC7730">
        <w:rPr>
          <w:sz w:val="26"/>
          <w:szCs w:val="26"/>
        </w:rPr>
        <w:t>4</w:t>
      </w:r>
      <w:r w:rsidR="00D049E0" w:rsidRPr="00DC7730">
        <w:rPr>
          <w:sz w:val="26"/>
          <w:szCs w:val="26"/>
        </w:rPr>
        <w:t xml:space="preserve"> </w:t>
      </w:r>
      <w:r w:rsidR="009F1474" w:rsidRPr="00DC7730">
        <w:rPr>
          <w:sz w:val="26"/>
          <w:szCs w:val="26"/>
        </w:rPr>
        <w:t xml:space="preserve">– </w:t>
      </w:r>
      <w:r w:rsidR="004F7D11" w:rsidRPr="00DC7730">
        <w:rPr>
          <w:sz w:val="26"/>
          <w:szCs w:val="26"/>
        </w:rPr>
        <w:t>22,1</w:t>
      </w:r>
      <w:r w:rsidR="009F1474" w:rsidRPr="00DC7730">
        <w:rPr>
          <w:sz w:val="26"/>
          <w:szCs w:val="26"/>
        </w:rPr>
        <w:t xml:space="preserve"> млн рублей</w:t>
      </w:r>
      <w:r w:rsidR="00D049E0" w:rsidRPr="00DC7730">
        <w:rPr>
          <w:sz w:val="26"/>
          <w:szCs w:val="26"/>
        </w:rPr>
        <w:t>).</w:t>
      </w:r>
    </w:p>
    <w:p w:rsidR="00FC4E04" w:rsidRPr="00DC7730" w:rsidRDefault="00E02A4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lastRenderedPageBreak/>
        <w:t>Кредиторская задолженность, отраженная в оперативных данных как задолженность главных распорядителей, снизилась с</w:t>
      </w:r>
      <w:r w:rsidR="00505D7E" w:rsidRPr="00DC7730">
        <w:rPr>
          <w:sz w:val="26"/>
          <w:szCs w:val="26"/>
        </w:rPr>
        <w:t xml:space="preserve"> 92,5</w:t>
      </w:r>
      <w:r w:rsidRPr="00DC7730">
        <w:rPr>
          <w:sz w:val="26"/>
          <w:szCs w:val="26"/>
        </w:rPr>
        <w:t xml:space="preserve"> млн рублей на 01.01.201</w:t>
      </w:r>
      <w:r w:rsidR="00505D7E" w:rsidRPr="00DC7730">
        <w:rPr>
          <w:sz w:val="26"/>
          <w:szCs w:val="26"/>
        </w:rPr>
        <w:t>5</w:t>
      </w:r>
      <w:r w:rsidRPr="00DC7730">
        <w:rPr>
          <w:sz w:val="26"/>
          <w:szCs w:val="26"/>
        </w:rPr>
        <w:t xml:space="preserve"> до </w:t>
      </w:r>
      <w:r w:rsidR="005A3016" w:rsidRPr="00DC7730">
        <w:rPr>
          <w:sz w:val="26"/>
          <w:szCs w:val="26"/>
        </w:rPr>
        <w:t>42,1</w:t>
      </w:r>
      <w:r w:rsidR="003F5F7B" w:rsidRPr="00DC7730">
        <w:rPr>
          <w:sz w:val="26"/>
          <w:szCs w:val="26"/>
        </w:rPr>
        <w:t xml:space="preserve"> млн рублей на 01.</w:t>
      </w:r>
      <w:r w:rsidR="005A3016" w:rsidRPr="00DC7730">
        <w:rPr>
          <w:sz w:val="26"/>
          <w:szCs w:val="26"/>
        </w:rPr>
        <w:t>1</w:t>
      </w:r>
      <w:r w:rsidR="003F5F7B" w:rsidRPr="00DC7730">
        <w:rPr>
          <w:sz w:val="26"/>
          <w:szCs w:val="26"/>
        </w:rPr>
        <w:t xml:space="preserve">0.2015, или </w:t>
      </w:r>
      <w:r w:rsidR="00FC4E04" w:rsidRPr="00DC7730">
        <w:rPr>
          <w:sz w:val="26"/>
          <w:szCs w:val="26"/>
        </w:rPr>
        <w:t>в 2,2 раза.</w:t>
      </w:r>
    </w:p>
    <w:p w:rsidR="0006198B" w:rsidRPr="00DC7730" w:rsidRDefault="004E6860" w:rsidP="007E257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C7730">
        <w:rPr>
          <w:b/>
          <w:i/>
          <w:sz w:val="26"/>
          <w:szCs w:val="26"/>
        </w:rPr>
        <w:t>Дебиторская задолженность</w:t>
      </w:r>
      <w:r w:rsidRPr="00DC7730">
        <w:rPr>
          <w:sz w:val="26"/>
          <w:szCs w:val="26"/>
        </w:rPr>
        <w:t xml:space="preserve"> составила </w:t>
      </w:r>
      <w:r w:rsidR="009150C3" w:rsidRPr="00DC7730">
        <w:rPr>
          <w:sz w:val="26"/>
          <w:szCs w:val="26"/>
        </w:rPr>
        <w:t>25,2</w:t>
      </w:r>
      <w:r w:rsidRPr="00DC7730">
        <w:rPr>
          <w:sz w:val="26"/>
          <w:szCs w:val="26"/>
        </w:rPr>
        <w:t xml:space="preserve"> млн рублей, увеличилась с начала года на </w:t>
      </w:r>
      <w:r w:rsidR="009150C3" w:rsidRPr="00DC7730">
        <w:rPr>
          <w:sz w:val="26"/>
          <w:szCs w:val="26"/>
        </w:rPr>
        <w:t>21,5</w:t>
      </w:r>
      <w:r w:rsidRPr="00DC7730">
        <w:rPr>
          <w:sz w:val="26"/>
          <w:szCs w:val="26"/>
        </w:rPr>
        <w:t xml:space="preserve"> млн рублей</w:t>
      </w:r>
      <w:r w:rsidR="008D3DBC" w:rsidRPr="00DC7730">
        <w:rPr>
          <w:sz w:val="26"/>
          <w:szCs w:val="26"/>
        </w:rPr>
        <w:t xml:space="preserve"> (</w:t>
      </w:r>
      <w:r w:rsidRPr="00DC7730">
        <w:rPr>
          <w:sz w:val="26"/>
          <w:szCs w:val="26"/>
        </w:rPr>
        <w:t xml:space="preserve">в </w:t>
      </w:r>
      <w:r w:rsidR="009150C3" w:rsidRPr="00DC7730">
        <w:rPr>
          <w:sz w:val="26"/>
          <w:szCs w:val="26"/>
        </w:rPr>
        <w:t>6,8</w:t>
      </w:r>
      <w:r w:rsidRPr="00DC7730">
        <w:rPr>
          <w:sz w:val="26"/>
          <w:szCs w:val="26"/>
        </w:rPr>
        <w:t xml:space="preserve"> раз</w:t>
      </w:r>
      <w:r w:rsidR="00505D7E" w:rsidRPr="00DC7730">
        <w:rPr>
          <w:sz w:val="26"/>
          <w:szCs w:val="26"/>
        </w:rPr>
        <w:t>а</w:t>
      </w:r>
      <w:r w:rsidR="008D3DBC" w:rsidRPr="00DC7730">
        <w:rPr>
          <w:sz w:val="26"/>
          <w:szCs w:val="26"/>
        </w:rPr>
        <w:t>)</w:t>
      </w:r>
      <w:r w:rsidRPr="00DC7730">
        <w:rPr>
          <w:sz w:val="26"/>
          <w:szCs w:val="26"/>
        </w:rPr>
        <w:t xml:space="preserve"> в основном за счет </w:t>
      </w:r>
      <w:r w:rsidR="00505D7E" w:rsidRPr="00DC7730">
        <w:rPr>
          <w:sz w:val="26"/>
          <w:szCs w:val="26"/>
        </w:rPr>
        <w:t>увеличения задолженности Управления социальной защиты населения Администрации города Вологды по выплате пособий по социаль</w:t>
      </w:r>
      <w:r w:rsidR="00CD3DD5" w:rsidRPr="00DC7730">
        <w:rPr>
          <w:sz w:val="26"/>
          <w:szCs w:val="26"/>
        </w:rPr>
        <w:t xml:space="preserve">ной помощи населению (рост на </w:t>
      </w:r>
      <w:r w:rsidR="009150C3" w:rsidRPr="00DC7730">
        <w:rPr>
          <w:sz w:val="26"/>
          <w:szCs w:val="26"/>
        </w:rPr>
        <w:t>8,6</w:t>
      </w:r>
      <w:r w:rsidR="00505D7E" w:rsidRPr="00DC7730">
        <w:rPr>
          <w:sz w:val="26"/>
          <w:szCs w:val="26"/>
        </w:rPr>
        <w:t xml:space="preserve"> млн рублей</w:t>
      </w:r>
      <w:r w:rsidR="009150C3" w:rsidRPr="00DC7730">
        <w:rPr>
          <w:sz w:val="26"/>
          <w:szCs w:val="26"/>
        </w:rPr>
        <w:t>)</w:t>
      </w:r>
      <w:r w:rsidR="00FC0B67" w:rsidRPr="00DC7730">
        <w:rPr>
          <w:sz w:val="26"/>
          <w:szCs w:val="26"/>
        </w:rPr>
        <w:t xml:space="preserve"> и Управления образования Администрации города Вологды по безвозмездным перечислениями организациям (рост на 10,6 млн рублей).</w:t>
      </w:r>
    </w:p>
    <w:p w:rsidR="00845D5D" w:rsidRPr="00DC7730" w:rsidRDefault="00237B08" w:rsidP="007E257F">
      <w:pPr>
        <w:spacing w:line="276" w:lineRule="auto"/>
        <w:jc w:val="center"/>
        <w:rPr>
          <w:sz w:val="26"/>
          <w:szCs w:val="26"/>
        </w:rPr>
      </w:pPr>
      <w:r w:rsidRPr="00DC7730">
        <w:rPr>
          <w:b/>
          <w:sz w:val="26"/>
          <w:szCs w:val="26"/>
        </w:rPr>
        <w:t>Выводы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Доходы бюджета города Вологды за </w:t>
      </w:r>
      <w:r w:rsidR="003E4B69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2015 года исполнены в сумме 5143,9 млн рублей, или на 69,8% к годовым назначениям, что на 324,0 млн рублей (на 6,7%) больше, чем в аналогичном периоде 2014 года, в том числе за счет увеличения налоговых и неналоговых доходов бюджета на 252,5 млн рублей (13,4%).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При увеличении объемов поступлений по налоговым и неналоговым доходам в сравнении с аналогичным периодом прошлого года исполнение годовых назначений идет со значительным отставанием. Так, за </w:t>
      </w:r>
      <w:r w:rsidR="00950379" w:rsidRPr="00DC7730">
        <w:rPr>
          <w:sz w:val="26"/>
          <w:szCs w:val="26"/>
        </w:rPr>
        <w:t>девять</w:t>
      </w:r>
      <w:r w:rsidRPr="00DC7730">
        <w:rPr>
          <w:sz w:val="26"/>
          <w:szCs w:val="26"/>
        </w:rPr>
        <w:t xml:space="preserve"> месяцев т.г. объем поступлений по налоговым доходам составил 1412,7 млн рублей, или 62,9% годовых назначений, по неналоговым доходам -  719,7 млн рублей, или 65,2% годовых назначений.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Безвозмездные поступления исполнены в объеме 3011,6 млн рублей, или на 74,9% к утвержденным назначениям. 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Расходы бюджета за отчетный период составили </w:t>
      </w:r>
      <w:r w:rsidR="00950379" w:rsidRPr="00DC7730">
        <w:rPr>
          <w:sz w:val="26"/>
          <w:szCs w:val="26"/>
        </w:rPr>
        <w:t>5389,4</w:t>
      </w:r>
      <w:r w:rsidRPr="00DC7730">
        <w:rPr>
          <w:sz w:val="26"/>
          <w:szCs w:val="26"/>
        </w:rPr>
        <w:t xml:space="preserve"> млн</w:t>
      </w:r>
      <w:r w:rsidRPr="00DC7730">
        <w:rPr>
          <w:bCs/>
          <w:i/>
          <w:iCs/>
          <w:sz w:val="26"/>
          <w:szCs w:val="26"/>
        </w:rPr>
        <w:t xml:space="preserve"> </w:t>
      </w:r>
      <w:r w:rsidRPr="00DC7730">
        <w:rPr>
          <w:sz w:val="26"/>
          <w:szCs w:val="26"/>
        </w:rPr>
        <w:t xml:space="preserve">рублей, или </w:t>
      </w:r>
      <w:r w:rsidR="00950379" w:rsidRPr="00DC7730">
        <w:rPr>
          <w:sz w:val="26"/>
          <w:szCs w:val="26"/>
        </w:rPr>
        <w:t>70,3</w:t>
      </w:r>
      <w:r w:rsidRPr="00DC7730">
        <w:rPr>
          <w:sz w:val="26"/>
          <w:szCs w:val="26"/>
        </w:rPr>
        <w:t xml:space="preserve">% к утвержденным годовым назначениям, что на </w:t>
      </w:r>
      <w:r w:rsidR="00A96C70" w:rsidRPr="00DC7730">
        <w:rPr>
          <w:sz w:val="26"/>
          <w:szCs w:val="26"/>
        </w:rPr>
        <w:t>3,9</w:t>
      </w:r>
      <w:r w:rsidRPr="00DC7730">
        <w:rPr>
          <w:sz w:val="26"/>
          <w:szCs w:val="26"/>
        </w:rPr>
        <w:t xml:space="preserve"> млн рублей (на </w:t>
      </w:r>
      <w:r w:rsidR="002B5067" w:rsidRPr="00DC7730">
        <w:rPr>
          <w:sz w:val="26"/>
          <w:szCs w:val="26"/>
        </w:rPr>
        <w:t>0,1</w:t>
      </w:r>
      <w:r w:rsidRPr="00DC7730">
        <w:rPr>
          <w:sz w:val="26"/>
          <w:szCs w:val="26"/>
        </w:rPr>
        <w:t xml:space="preserve">%) больше, чем за </w:t>
      </w:r>
      <w:r w:rsidR="00A96C70" w:rsidRPr="00DC7730">
        <w:rPr>
          <w:sz w:val="26"/>
          <w:szCs w:val="26"/>
        </w:rPr>
        <w:t>девять месяцев</w:t>
      </w:r>
      <w:r w:rsidRPr="00DC7730">
        <w:rPr>
          <w:sz w:val="26"/>
          <w:szCs w:val="26"/>
        </w:rPr>
        <w:t xml:space="preserve"> 2014 года. За счет безвозмездных поступлений от других бюджетов израсходовано 2</w:t>
      </w:r>
      <w:r w:rsidR="00A74B7D" w:rsidRPr="00DC7730">
        <w:rPr>
          <w:sz w:val="26"/>
          <w:szCs w:val="26"/>
        </w:rPr>
        <w:t>962,5</w:t>
      </w:r>
      <w:r w:rsidRPr="00DC7730">
        <w:rPr>
          <w:sz w:val="26"/>
          <w:szCs w:val="26"/>
        </w:rPr>
        <w:t xml:space="preserve"> млн рублей, или 5</w:t>
      </w:r>
      <w:r w:rsidR="00A74B7D" w:rsidRPr="00DC7730">
        <w:rPr>
          <w:sz w:val="26"/>
          <w:szCs w:val="26"/>
        </w:rPr>
        <w:t>5,0</w:t>
      </w:r>
      <w:r w:rsidRPr="00DC7730">
        <w:rPr>
          <w:sz w:val="26"/>
          <w:szCs w:val="26"/>
        </w:rPr>
        <w:t>%  общего объема кассовых расходов.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Общий объем программных расходов в отчетном периоде составил </w:t>
      </w:r>
      <w:r w:rsidR="007941E0" w:rsidRPr="00DC7730">
        <w:rPr>
          <w:sz w:val="26"/>
          <w:szCs w:val="26"/>
        </w:rPr>
        <w:t>4648,6</w:t>
      </w:r>
      <w:r w:rsidRPr="00DC7730">
        <w:rPr>
          <w:sz w:val="26"/>
          <w:szCs w:val="26"/>
        </w:rPr>
        <w:t xml:space="preserve"> млн рублей, или </w:t>
      </w:r>
      <w:r w:rsidR="007941E0" w:rsidRPr="00DC7730">
        <w:rPr>
          <w:sz w:val="26"/>
          <w:szCs w:val="26"/>
        </w:rPr>
        <w:t>72,0</w:t>
      </w:r>
      <w:r w:rsidRPr="00DC7730">
        <w:rPr>
          <w:sz w:val="26"/>
          <w:szCs w:val="26"/>
        </w:rPr>
        <w:t>% к утвержденным годовым назначениям по муниципальным программам. Доля программного финансирования составила 8</w:t>
      </w:r>
      <w:r w:rsidR="007941E0" w:rsidRPr="00DC7730">
        <w:rPr>
          <w:sz w:val="26"/>
          <w:szCs w:val="26"/>
        </w:rPr>
        <w:t>6,3</w:t>
      </w:r>
      <w:r w:rsidRPr="00DC7730">
        <w:rPr>
          <w:sz w:val="26"/>
          <w:szCs w:val="26"/>
        </w:rPr>
        <w:t xml:space="preserve">% от расходов бюджета за </w:t>
      </w:r>
      <w:r w:rsidR="007941E0" w:rsidRPr="00DC7730">
        <w:rPr>
          <w:sz w:val="26"/>
          <w:szCs w:val="26"/>
        </w:rPr>
        <w:t>девять месяцев 2015 года</w:t>
      </w:r>
      <w:r w:rsidRPr="00DC7730">
        <w:rPr>
          <w:sz w:val="26"/>
          <w:szCs w:val="26"/>
        </w:rPr>
        <w:t>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Бюджет исполнен с дефицитом в сумме 245,5 млн рублей, или на 83,2% к годовым назначениям.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В составе источников финансирования дефицита бюджета города отражено привлечение кредитов от кредитных организаций в объеме 2245,7 млн рублей, бюджетных кредитов в размере 1261,6 млн рублей, средства бюджетных и автономных учреждений в сумме 49,0 млн рублей. За 9 месяцев т.г. погашено 2135,7 млн рублей кредитов кредитных организаций, 1261,6 млн рублей бюджетных кредитов.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Муниципальный долг уменьшился за 9 месяцев на 64,2 млн рублей и составил 1877,7 млн рублей.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 xml:space="preserve">Кредиторская задолженность за отчетный период сократилась на </w:t>
      </w:r>
      <w:r w:rsidR="007941E0" w:rsidRPr="00DC7730">
        <w:rPr>
          <w:sz w:val="26"/>
          <w:szCs w:val="26"/>
        </w:rPr>
        <w:t>32,1</w:t>
      </w:r>
      <w:r w:rsidRPr="00DC7730">
        <w:rPr>
          <w:sz w:val="26"/>
          <w:szCs w:val="26"/>
        </w:rPr>
        <w:t>% и составила 7</w:t>
      </w:r>
      <w:r w:rsidR="007941E0" w:rsidRPr="00DC7730">
        <w:rPr>
          <w:sz w:val="26"/>
          <w:szCs w:val="26"/>
        </w:rPr>
        <w:t>14,7</w:t>
      </w:r>
      <w:r w:rsidRPr="00DC7730">
        <w:rPr>
          <w:sz w:val="26"/>
          <w:szCs w:val="26"/>
        </w:rPr>
        <w:t xml:space="preserve"> млн рублей, из которых 6</w:t>
      </w:r>
      <w:r w:rsidR="007941E0" w:rsidRPr="00DC7730">
        <w:rPr>
          <w:sz w:val="26"/>
          <w:szCs w:val="26"/>
        </w:rPr>
        <w:t>72,6</w:t>
      </w:r>
      <w:r w:rsidRPr="00DC7730">
        <w:rPr>
          <w:sz w:val="26"/>
          <w:szCs w:val="26"/>
        </w:rPr>
        <w:t xml:space="preserve"> млн рублей (</w:t>
      </w:r>
      <w:r w:rsidR="007941E0" w:rsidRPr="00DC7730">
        <w:rPr>
          <w:sz w:val="26"/>
          <w:szCs w:val="26"/>
        </w:rPr>
        <w:t>94,1</w:t>
      </w:r>
      <w:r w:rsidRPr="00DC7730">
        <w:rPr>
          <w:sz w:val="26"/>
          <w:szCs w:val="26"/>
        </w:rPr>
        <w:t xml:space="preserve">%) - долги по капитальному строительству и жилищно-коммунальному хозяйству, сократившиеся с начала года на </w:t>
      </w:r>
      <w:r w:rsidR="007941E0" w:rsidRPr="00DC7730">
        <w:rPr>
          <w:sz w:val="26"/>
          <w:szCs w:val="26"/>
        </w:rPr>
        <w:lastRenderedPageBreak/>
        <w:t>287,5</w:t>
      </w:r>
      <w:r w:rsidRPr="00DC7730">
        <w:rPr>
          <w:sz w:val="26"/>
          <w:szCs w:val="26"/>
        </w:rPr>
        <w:t xml:space="preserve"> млн рублей. Просроченная кредиторская задолженность по состоянию на 01.</w:t>
      </w:r>
      <w:r w:rsidR="007941E0" w:rsidRPr="00DC7730">
        <w:rPr>
          <w:sz w:val="26"/>
          <w:szCs w:val="26"/>
        </w:rPr>
        <w:t>1</w:t>
      </w:r>
      <w:r w:rsidRPr="00DC7730">
        <w:rPr>
          <w:sz w:val="26"/>
          <w:szCs w:val="26"/>
        </w:rPr>
        <w:t xml:space="preserve">0.2015 составляет </w:t>
      </w:r>
      <w:r w:rsidR="007941E0" w:rsidRPr="00DC7730">
        <w:rPr>
          <w:sz w:val="26"/>
          <w:szCs w:val="26"/>
        </w:rPr>
        <w:t>93,7</w:t>
      </w:r>
      <w:r w:rsidRPr="00DC7730">
        <w:rPr>
          <w:sz w:val="26"/>
          <w:szCs w:val="26"/>
        </w:rPr>
        <w:t xml:space="preserve"> млн рублей.</w:t>
      </w:r>
    </w:p>
    <w:p w:rsidR="00E06EA2" w:rsidRPr="00DC7730" w:rsidRDefault="00E06EA2" w:rsidP="007E257F">
      <w:pPr>
        <w:spacing w:line="276" w:lineRule="auto"/>
        <w:ind w:firstLine="709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Динамика поступлений налоговых и неналоговых доходов (63,6% годовых назначений), сформировавшийся по итогам 9 месяцев 2015 года размер дефицита бюджета (11,6% объема поступлений налоговых и неналоговых доходов без учета поступлений по дополнительным нормативам и 83,2% годовых назначений) вызывает определенную обеспокоенность по поводу сбалансированности бюджета города.</w:t>
      </w:r>
    </w:p>
    <w:p w:rsidR="008F07D9" w:rsidRPr="00DC7730" w:rsidRDefault="008F07D9" w:rsidP="007E257F">
      <w:pPr>
        <w:spacing w:line="276" w:lineRule="auto"/>
        <w:jc w:val="center"/>
        <w:rPr>
          <w:b/>
          <w:sz w:val="26"/>
          <w:szCs w:val="26"/>
        </w:rPr>
      </w:pPr>
    </w:p>
    <w:p w:rsidR="00FF7762" w:rsidRPr="00DC7730" w:rsidRDefault="00FF7762" w:rsidP="007E257F">
      <w:pPr>
        <w:spacing w:line="276" w:lineRule="auto"/>
        <w:jc w:val="center"/>
        <w:rPr>
          <w:b/>
          <w:sz w:val="26"/>
          <w:szCs w:val="26"/>
        </w:rPr>
      </w:pPr>
      <w:r w:rsidRPr="00DC7730">
        <w:rPr>
          <w:b/>
          <w:sz w:val="26"/>
          <w:szCs w:val="26"/>
        </w:rPr>
        <w:t>Предложения</w:t>
      </w:r>
    </w:p>
    <w:p w:rsidR="00CA603E" w:rsidRPr="00DC7730" w:rsidRDefault="00FF7762" w:rsidP="007E257F">
      <w:pPr>
        <w:spacing w:line="276" w:lineRule="auto"/>
        <w:ind w:firstLine="851"/>
        <w:jc w:val="both"/>
        <w:rPr>
          <w:sz w:val="26"/>
          <w:szCs w:val="26"/>
        </w:rPr>
      </w:pPr>
      <w:r w:rsidRPr="00DC7730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 Вологды</w:t>
      </w:r>
      <w:r w:rsidR="00621F1E" w:rsidRPr="00DC7730">
        <w:rPr>
          <w:sz w:val="26"/>
          <w:szCs w:val="26"/>
        </w:rPr>
        <w:t xml:space="preserve"> </w:t>
      </w:r>
      <w:r w:rsidR="00E06EA2" w:rsidRPr="00DC7730">
        <w:rPr>
          <w:sz w:val="26"/>
          <w:szCs w:val="26"/>
        </w:rPr>
        <w:t xml:space="preserve">для обеспечения исполнения утвержденных показателей бюджета города в 2015 году оценить реальность поступления доходов бюджета города в утвержденных объемах </w:t>
      </w:r>
      <w:r w:rsidR="004B39D2" w:rsidRPr="00DC7730">
        <w:rPr>
          <w:sz w:val="26"/>
          <w:szCs w:val="26"/>
        </w:rPr>
        <w:t>по видам доходов</w:t>
      </w:r>
      <w:r w:rsidR="00E06EA2" w:rsidRPr="00DC7730">
        <w:rPr>
          <w:sz w:val="26"/>
          <w:szCs w:val="26"/>
        </w:rPr>
        <w:t>, при необходимости подготовить соответствующие изменения в бюджет города</w:t>
      </w:r>
      <w:r w:rsidR="009E10D5" w:rsidRPr="00DC7730">
        <w:rPr>
          <w:sz w:val="26"/>
          <w:szCs w:val="26"/>
        </w:rPr>
        <w:t>.</w:t>
      </w:r>
    </w:p>
    <w:sectPr w:rsidR="00CA603E" w:rsidRPr="00DC7730" w:rsidSect="009A1EA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CBC" w:rsidRDefault="003F5CBC" w:rsidP="005E369A">
      <w:r>
        <w:separator/>
      </w:r>
    </w:p>
  </w:endnote>
  <w:endnote w:type="continuationSeparator" w:id="0">
    <w:p w:rsidR="003F5CBC" w:rsidRDefault="003F5CBC" w:rsidP="005E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CBC" w:rsidRDefault="003F5CBC" w:rsidP="005E369A">
      <w:r>
        <w:separator/>
      </w:r>
    </w:p>
  </w:footnote>
  <w:footnote w:type="continuationSeparator" w:id="0">
    <w:p w:rsidR="003F5CBC" w:rsidRDefault="003F5CBC" w:rsidP="005E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325772"/>
      <w:docPartObj>
        <w:docPartGallery w:val="Page Numbers (Top of Page)"/>
        <w:docPartUnique/>
      </w:docPartObj>
    </w:sdtPr>
    <w:sdtEndPr/>
    <w:sdtContent>
      <w:p w:rsidR="005E369A" w:rsidRDefault="005E36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516">
          <w:rPr>
            <w:noProof/>
          </w:rPr>
          <w:t>7</w:t>
        </w:r>
        <w:r>
          <w:fldChar w:fldCharType="end"/>
        </w:r>
      </w:p>
    </w:sdtContent>
  </w:sdt>
  <w:p w:rsidR="005E369A" w:rsidRDefault="005E36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281"/>
    <w:multiLevelType w:val="hybridMultilevel"/>
    <w:tmpl w:val="37BC758C"/>
    <w:lvl w:ilvl="0" w:tplc="38C65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B"/>
    <w:rsid w:val="000009B5"/>
    <w:rsid w:val="000021C2"/>
    <w:rsid w:val="00003CC8"/>
    <w:rsid w:val="000061AD"/>
    <w:rsid w:val="00010094"/>
    <w:rsid w:val="00010AF5"/>
    <w:rsid w:val="00013781"/>
    <w:rsid w:val="00015087"/>
    <w:rsid w:val="00016F88"/>
    <w:rsid w:val="00017730"/>
    <w:rsid w:val="00025439"/>
    <w:rsid w:val="000322A9"/>
    <w:rsid w:val="00032C5D"/>
    <w:rsid w:val="0003424A"/>
    <w:rsid w:val="0004093B"/>
    <w:rsid w:val="00040B81"/>
    <w:rsid w:val="00043428"/>
    <w:rsid w:val="000436D5"/>
    <w:rsid w:val="0004488A"/>
    <w:rsid w:val="00051AC4"/>
    <w:rsid w:val="00051E0E"/>
    <w:rsid w:val="00052ECB"/>
    <w:rsid w:val="000532A7"/>
    <w:rsid w:val="00057F36"/>
    <w:rsid w:val="00061665"/>
    <w:rsid w:val="0006198B"/>
    <w:rsid w:val="00062667"/>
    <w:rsid w:val="0006469F"/>
    <w:rsid w:val="00065FDC"/>
    <w:rsid w:val="00066215"/>
    <w:rsid w:val="00070F66"/>
    <w:rsid w:val="000714A7"/>
    <w:rsid w:val="000715BB"/>
    <w:rsid w:val="0007205E"/>
    <w:rsid w:val="0007705E"/>
    <w:rsid w:val="000815DB"/>
    <w:rsid w:val="00092995"/>
    <w:rsid w:val="0009428C"/>
    <w:rsid w:val="00095164"/>
    <w:rsid w:val="00095D85"/>
    <w:rsid w:val="00095EC8"/>
    <w:rsid w:val="00096BBC"/>
    <w:rsid w:val="000B2E02"/>
    <w:rsid w:val="000B4CFF"/>
    <w:rsid w:val="000B5E90"/>
    <w:rsid w:val="000B62E0"/>
    <w:rsid w:val="000C20C7"/>
    <w:rsid w:val="000C2AA9"/>
    <w:rsid w:val="000C5187"/>
    <w:rsid w:val="000C7601"/>
    <w:rsid w:val="000D0821"/>
    <w:rsid w:val="000D09D6"/>
    <w:rsid w:val="000D216E"/>
    <w:rsid w:val="000E1472"/>
    <w:rsid w:val="000E1516"/>
    <w:rsid w:val="000E2BA0"/>
    <w:rsid w:val="000E5336"/>
    <w:rsid w:val="000F0CEA"/>
    <w:rsid w:val="000F29FC"/>
    <w:rsid w:val="000F5680"/>
    <w:rsid w:val="000F7A79"/>
    <w:rsid w:val="001016D1"/>
    <w:rsid w:val="00102170"/>
    <w:rsid w:val="001058F0"/>
    <w:rsid w:val="00105CFC"/>
    <w:rsid w:val="00107D3F"/>
    <w:rsid w:val="00112171"/>
    <w:rsid w:val="001142F5"/>
    <w:rsid w:val="001146FA"/>
    <w:rsid w:val="00120C95"/>
    <w:rsid w:val="0012184A"/>
    <w:rsid w:val="00121F67"/>
    <w:rsid w:val="001257B0"/>
    <w:rsid w:val="00125A06"/>
    <w:rsid w:val="00126127"/>
    <w:rsid w:val="00127D5F"/>
    <w:rsid w:val="001307B2"/>
    <w:rsid w:val="00137D35"/>
    <w:rsid w:val="00142909"/>
    <w:rsid w:val="00147863"/>
    <w:rsid w:val="00147ED6"/>
    <w:rsid w:val="00151D03"/>
    <w:rsid w:val="00163366"/>
    <w:rsid w:val="001635AB"/>
    <w:rsid w:val="001661FB"/>
    <w:rsid w:val="00167562"/>
    <w:rsid w:val="0017223B"/>
    <w:rsid w:val="00175171"/>
    <w:rsid w:val="00175BA9"/>
    <w:rsid w:val="00176467"/>
    <w:rsid w:val="0018403B"/>
    <w:rsid w:val="00184C4D"/>
    <w:rsid w:val="00187E2F"/>
    <w:rsid w:val="001924A9"/>
    <w:rsid w:val="001949DB"/>
    <w:rsid w:val="001965ED"/>
    <w:rsid w:val="001A22ED"/>
    <w:rsid w:val="001A48DB"/>
    <w:rsid w:val="001B1E48"/>
    <w:rsid w:val="001B3BA7"/>
    <w:rsid w:val="001B5A32"/>
    <w:rsid w:val="001C10A5"/>
    <w:rsid w:val="001C3C91"/>
    <w:rsid w:val="001C6D72"/>
    <w:rsid w:val="001C759A"/>
    <w:rsid w:val="001D3D77"/>
    <w:rsid w:val="001D6EF6"/>
    <w:rsid w:val="001E28B4"/>
    <w:rsid w:val="001E5485"/>
    <w:rsid w:val="001E6A7F"/>
    <w:rsid w:val="001F111C"/>
    <w:rsid w:val="001F1D54"/>
    <w:rsid w:val="001F1EBB"/>
    <w:rsid w:val="001F2968"/>
    <w:rsid w:val="001F48B1"/>
    <w:rsid w:val="001F6875"/>
    <w:rsid w:val="00204CCF"/>
    <w:rsid w:val="00205B1A"/>
    <w:rsid w:val="002067B1"/>
    <w:rsid w:val="00206D2E"/>
    <w:rsid w:val="00207142"/>
    <w:rsid w:val="00210DC2"/>
    <w:rsid w:val="00211A9C"/>
    <w:rsid w:val="00212FDA"/>
    <w:rsid w:val="00215946"/>
    <w:rsid w:val="00220DCC"/>
    <w:rsid w:val="0022266F"/>
    <w:rsid w:val="00227D88"/>
    <w:rsid w:val="002350A4"/>
    <w:rsid w:val="002350D2"/>
    <w:rsid w:val="00237B08"/>
    <w:rsid w:val="0024004C"/>
    <w:rsid w:val="00241906"/>
    <w:rsid w:val="00241CC7"/>
    <w:rsid w:val="002444E3"/>
    <w:rsid w:val="00252115"/>
    <w:rsid w:val="00256AA1"/>
    <w:rsid w:val="002572C6"/>
    <w:rsid w:val="0026026E"/>
    <w:rsid w:val="002613FC"/>
    <w:rsid w:val="0026319C"/>
    <w:rsid w:val="00265EE2"/>
    <w:rsid w:val="002675BD"/>
    <w:rsid w:val="0027759F"/>
    <w:rsid w:val="00281F27"/>
    <w:rsid w:val="00283F15"/>
    <w:rsid w:val="00287628"/>
    <w:rsid w:val="002926F2"/>
    <w:rsid w:val="00293E3B"/>
    <w:rsid w:val="00294771"/>
    <w:rsid w:val="002A31F0"/>
    <w:rsid w:val="002A5741"/>
    <w:rsid w:val="002B355A"/>
    <w:rsid w:val="002B5067"/>
    <w:rsid w:val="002B622E"/>
    <w:rsid w:val="002B6256"/>
    <w:rsid w:val="002B73F3"/>
    <w:rsid w:val="002C2406"/>
    <w:rsid w:val="002C7F67"/>
    <w:rsid w:val="002D015C"/>
    <w:rsid w:val="002D1695"/>
    <w:rsid w:val="002D23A8"/>
    <w:rsid w:val="002D278E"/>
    <w:rsid w:val="002D543B"/>
    <w:rsid w:val="002D6127"/>
    <w:rsid w:val="002D7E32"/>
    <w:rsid w:val="002E279C"/>
    <w:rsid w:val="002F31B5"/>
    <w:rsid w:val="002F3CFC"/>
    <w:rsid w:val="002F4CAB"/>
    <w:rsid w:val="002F56FD"/>
    <w:rsid w:val="002F5DEC"/>
    <w:rsid w:val="00304DFC"/>
    <w:rsid w:val="00310B30"/>
    <w:rsid w:val="00317FBE"/>
    <w:rsid w:val="00323501"/>
    <w:rsid w:val="00324651"/>
    <w:rsid w:val="00324654"/>
    <w:rsid w:val="00326648"/>
    <w:rsid w:val="00330449"/>
    <w:rsid w:val="003309C8"/>
    <w:rsid w:val="00333409"/>
    <w:rsid w:val="003345A6"/>
    <w:rsid w:val="0033707E"/>
    <w:rsid w:val="00343762"/>
    <w:rsid w:val="0034602A"/>
    <w:rsid w:val="00347E8E"/>
    <w:rsid w:val="00351133"/>
    <w:rsid w:val="003512A6"/>
    <w:rsid w:val="0035179E"/>
    <w:rsid w:val="00354941"/>
    <w:rsid w:val="00360AAF"/>
    <w:rsid w:val="003624C4"/>
    <w:rsid w:val="003632F6"/>
    <w:rsid w:val="00365365"/>
    <w:rsid w:val="00367AA1"/>
    <w:rsid w:val="003700E9"/>
    <w:rsid w:val="0037699C"/>
    <w:rsid w:val="00380E48"/>
    <w:rsid w:val="00382A41"/>
    <w:rsid w:val="003841C1"/>
    <w:rsid w:val="0038614E"/>
    <w:rsid w:val="0038648A"/>
    <w:rsid w:val="0038691C"/>
    <w:rsid w:val="00386CC8"/>
    <w:rsid w:val="003875C2"/>
    <w:rsid w:val="003912B3"/>
    <w:rsid w:val="0039254D"/>
    <w:rsid w:val="003942FA"/>
    <w:rsid w:val="003A22A4"/>
    <w:rsid w:val="003B4432"/>
    <w:rsid w:val="003C0CEA"/>
    <w:rsid w:val="003C2D79"/>
    <w:rsid w:val="003C4005"/>
    <w:rsid w:val="003C52DE"/>
    <w:rsid w:val="003D2091"/>
    <w:rsid w:val="003E0D75"/>
    <w:rsid w:val="003E4865"/>
    <w:rsid w:val="003E4B69"/>
    <w:rsid w:val="003E518A"/>
    <w:rsid w:val="003E689B"/>
    <w:rsid w:val="003F1981"/>
    <w:rsid w:val="003F2B2F"/>
    <w:rsid w:val="003F5718"/>
    <w:rsid w:val="003F5CBC"/>
    <w:rsid w:val="003F5F7B"/>
    <w:rsid w:val="00401505"/>
    <w:rsid w:val="004027CA"/>
    <w:rsid w:val="00402E0E"/>
    <w:rsid w:val="00403095"/>
    <w:rsid w:val="00404EFC"/>
    <w:rsid w:val="00404FEB"/>
    <w:rsid w:val="004063DC"/>
    <w:rsid w:val="00406D02"/>
    <w:rsid w:val="004105DF"/>
    <w:rsid w:val="0041124B"/>
    <w:rsid w:val="00422C92"/>
    <w:rsid w:val="00425B59"/>
    <w:rsid w:val="004263EE"/>
    <w:rsid w:val="004268A0"/>
    <w:rsid w:val="00426927"/>
    <w:rsid w:val="00426C1B"/>
    <w:rsid w:val="00427939"/>
    <w:rsid w:val="00431D31"/>
    <w:rsid w:val="00443D09"/>
    <w:rsid w:val="004443A2"/>
    <w:rsid w:val="00447864"/>
    <w:rsid w:val="0045057A"/>
    <w:rsid w:val="00455F4F"/>
    <w:rsid w:val="00460079"/>
    <w:rsid w:val="00460EC9"/>
    <w:rsid w:val="0046194B"/>
    <w:rsid w:val="00466F6F"/>
    <w:rsid w:val="00470701"/>
    <w:rsid w:val="004768FB"/>
    <w:rsid w:val="00484208"/>
    <w:rsid w:val="00484AC8"/>
    <w:rsid w:val="00491B66"/>
    <w:rsid w:val="004935EB"/>
    <w:rsid w:val="004A1E58"/>
    <w:rsid w:val="004A2B9A"/>
    <w:rsid w:val="004A4164"/>
    <w:rsid w:val="004A432B"/>
    <w:rsid w:val="004A6D52"/>
    <w:rsid w:val="004A6F94"/>
    <w:rsid w:val="004A779F"/>
    <w:rsid w:val="004B39D2"/>
    <w:rsid w:val="004B7003"/>
    <w:rsid w:val="004B76D7"/>
    <w:rsid w:val="004C1157"/>
    <w:rsid w:val="004C2891"/>
    <w:rsid w:val="004C3DDF"/>
    <w:rsid w:val="004C3FFA"/>
    <w:rsid w:val="004C46AD"/>
    <w:rsid w:val="004C6303"/>
    <w:rsid w:val="004C6B7F"/>
    <w:rsid w:val="004C7343"/>
    <w:rsid w:val="004D028A"/>
    <w:rsid w:val="004D0629"/>
    <w:rsid w:val="004D5962"/>
    <w:rsid w:val="004E10F7"/>
    <w:rsid w:val="004E1334"/>
    <w:rsid w:val="004E2069"/>
    <w:rsid w:val="004E2A3D"/>
    <w:rsid w:val="004E5815"/>
    <w:rsid w:val="004E657F"/>
    <w:rsid w:val="004E6842"/>
    <w:rsid w:val="004E6860"/>
    <w:rsid w:val="004F6490"/>
    <w:rsid w:val="004F6927"/>
    <w:rsid w:val="004F7755"/>
    <w:rsid w:val="004F7D11"/>
    <w:rsid w:val="00501EC2"/>
    <w:rsid w:val="005036A6"/>
    <w:rsid w:val="00505D7E"/>
    <w:rsid w:val="00507795"/>
    <w:rsid w:val="00515A0F"/>
    <w:rsid w:val="00521416"/>
    <w:rsid w:val="00525A2D"/>
    <w:rsid w:val="00526EF1"/>
    <w:rsid w:val="005270B3"/>
    <w:rsid w:val="00534BF4"/>
    <w:rsid w:val="005378C1"/>
    <w:rsid w:val="0054366E"/>
    <w:rsid w:val="00544C28"/>
    <w:rsid w:val="00545AB9"/>
    <w:rsid w:val="00547444"/>
    <w:rsid w:val="005507F2"/>
    <w:rsid w:val="005523A5"/>
    <w:rsid w:val="00553FB1"/>
    <w:rsid w:val="00553FBC"/>
    <w:rsid w:val="00556CEC"/>
    <w:rsid w:val="005604A7"/>
    <w:rsid w:val="00561B4B"/>
    <w:rsid w:val="00563332"/>
    <w:rsid w:val="00567370"/>
    <w:rsid w:val="00570130"/>
    <w:rsid w:val="00577559"/>
    <w:rsid w:val="00582B20"/>
    <w:rsid w:val="00584DE5"/>
    <w:rsid w:val="0058733A"/>
    <w:rsid w:val="00590404"/>
    <w:rsid w:val="00590E51"/>
    <w:rsid w:val="00594692"/>
    <w:rsid w:val="00594EB6"/>
    <w:rsid w:val="0059527B"/>
    <w:rsid w:val="005A0821"/>
    <w:rsid w:val="005A0EF3"/>
    <w:rsid w:val="005A2CEF"/>
    <w:rsid w:val="005A3016"/>
    <w:rsid w:val="005A3876"/>
    <w:rsid w:val="005A3B7B"/>
    <w:rsid w:val="005B4604"/>
    <w:rsid w:val="005B4D0A"/>
    <w:rsid w:val="005B5A17"/>
    <w:rsid w:val="005B6032"/>
    <w:rsid w:val="005C1275"/>
    <w:rsid w:val="005C2EEE"/>
    <w:rsid w:val="005D14EA"/>
    <w:rsid w:val="005D3432"/>
    <w:rsid w:val="005D34AF"/>
    <w:rsid w:val="005D5EDF"/>
    <w:rsid w:val="005D69BB"/>
    <w:rsid w:val="005D6BD3"/>
    <w:rsid w:val="005E2C67"/>
    <w:rsid w:val="005E2E55"/>
    <w:rsid w:val="005E2EA4"/>
    <w:rsid w:val="005E369A"/>
    <w:rsid w:val="005E47D6"/>
    <w:rsid w:val="005E57CA"/>
    <w:rsid w:val="005F2173"/>
    <w:rsid w:val="005F4848"/>
    <w:rsid w:val="00607139"/>
    <w:rsid w:val="006110ED"/>
    <w:rsid w:val="00612774"/>
    <w:rsid w:val="00612C30"/>
    <w:rsid w:val="00621F1E"/>
    <w:rsid w:val="00624026"/>
    <w:rsid w:val="006258AD"/>
    <w:rsid w:val="006267ED"/>
    <w:rsid w:val="00631186"/>
    <w:rsid w:val="00633ACA"/>
    <w:rsid w:val="00634D7D"/>
    <w:rsid w:val="006360D2"/>
    <w:rsid w:val="00637F73"/>
    <w:rsid w:val="00640C66"/>
    <w:rsid w:val="00641CB6"/>
    <w:rsid w:val="00642180"/>
    <w:rsid w:val="0065239F"/>
    <w:rsid w:val="00656A1D"/>
    <w:rsid w:val="00661305"/>
    <w:rsid w:val="00664CF1"/>
    <w:rsid w:val="00666A58"/>
    <w:rsid w:val="00667750"/>
    <w:rsid w:val="0067205C"/>
    <w:rsid w:val="00672C15"/>
    <w:rsid w:val="0067466C"/>
    <w:rsid w:val="00676811"/>
    <w:rsid w:val="00676D0E"/>
    <w:rsid w:val="00677362"/>
    <w:rsid w:val="00691EFC"/>
    <w:rsid w:val="006944CF"/>
    <w:rsid w:val="006A06E9"/>
    <w:rsid w:val="006A2C1A"/>
    <w:rsid w:val="006A7A9A"/>
    <w:rsid w:val="006B1BB4"/>
    <w:rsid w:val="006B21FC"/>
    <w:rsid w:val="006B36B6"/>
    <w:rsid w:val="006B39E2"/>
    <w:rsid w:val="006B51D9"/>
    <w:rsid w:val="006B5ADD"/>
    <w:rsid w:val="006B6E4A"/>
    <w:rsid w:val="006B716A"/>
    <w:rsid w:val="006C29A0"/>
    <w:rsid w:val="006C3509"/>
    <w:rsid w:val="006C397A"/>
    <w:rsid w:val="006C594C"/>
    <w:rsid w:val="006C59AF"/>
    <w:rsid w:val="006C5FE7"/>
    <w:rsid w:val="006C6DBA"/>
    <w:rsid w:val="006C7DF5"/>
    <w:rsid w:val="006D08EF"/>
    <w:rsid w:val="006D0B1A"/>
    <w:rsid w:val="006D28FD"/>
    <w:rsid w:val="006D5B4B"/>
    <w:rsid w:val="006D70DC"/>
    <w:rsid w:val="006D73A6"/>
    <w:rsid w:val="006E7688"/>
    <w:rsid w:val="006F0DE5"/>
    <w:rsid w:val="006F156D"/>
    <w:rsid w:val="006F42D6"/>
    <w:rsid w:val="006F5F01"/>
    <w:rsid w:val="006F6159"/>
    <w:rsid w:val="006F7B54"/>
    <w:rsid w:val="00702272"/>
    <w:rsid w:val="00702E58"/>
    <w:rsid w:val="00705DE9"/>
    <w:rsid w:val="00707030"/>
    <w:rsid w:val="0070748E"/>
    <w:rsid w:val="00713901"/>
    <w:rsid w:val="0071529D"/>
    <w:rsid w:val="00716750"/>
    <w:rsid w:val="007167E2"/>
    <w:rsid w:val="0071790C"/>
    <w:rsid w:val="00720149"/>
    <w:rsid w:val="00720BCB"/>
    <w:rsid w:val="00723DC8"/>
    <w:rsid w:val="00723EB8"/>
    <w:rsid w:val="007251DF"/>
    <w:rsid w:val="00726041"/>
    <w:rsid w:val="00727464"/>
    <w:rsid w:val="00734A35"/>
    <w:rsid w:val="00735120"/>
    <w:rsid w:val="00736663"/>
    <w:rsid w:val="00736F5C"/>
    <w:rsid w:val="0074013F"/>
    <w:rsid w:val="0074232E"/>
    <w:rsid w:val="00742F09"/>
    <w:rsid w:val="00745F05"/>
    <w:rsid w:val="00746236"/>
    <w:rsid w:val="00746A0B"/>
    <w:rsid w:val="00754061"/>
    <w:rsid w:val="00754467"/>
    <w:rsid w:val="00756F43"/>
    <w:rsid w:val="00760225"/>
    <w:rsid w:val="007650B4"/>
    <w:rsid w:val="00767701"/>
    <w:rsid w:val="00770A6A"/>
    <w:rsid w:val="007730A0"/>
    <w:rsid w:val="00774A99"/>
    <w:rsid w:val="007752EC"/>
    <w:rsid w:val="00775A66"/>
    <w:rsid w:val="00777F15"/>
    <w:rsid w:val="00782D79"/>
    <w:rsid w:val="00783CCF"/>
    <w:rsid w:val="00787BFE"/>
    <w:rsid w:val="00790AB8"/>
    <w:rsid w:val="00791305"/>
    <w:rsid w:val="00791530"/>
    <w:rsid w:val="007941E0"/>
    <w:rsid w:val="0079545B"/>
    <w:rsid w:val="0079781F"/>
    <w:rsid w:val="007A0236"/>
    <w:rsid w:val="007A4AB4"/>
    <w:rsid w:val="007B2F5D"/>
    <w:rsid w:val="007B4133"/>
    <w:rsid w:val="007B53FC"/>
    <w:rsid w:val="007C16CB"/>
    <w:rsid w:val="007C279E"/>
    <w:rsid w:val="007C2A46"/>
    <w:rsid w:val="007C2BAF"/>
    <w:rsid w:val="007C2E6C"/>
    <w:rsid w:val="007C48F4"/>
    <w:rsid w:val="007C593A"/>
    <w:rsid w:val="007C62CC"/>
    <w:rsid w:val="007C7B05"/>
    <w:rsid w:val="007D1AD0"/>
    <w:rsid w:val="007D2695"/>
    <w:rsid w:val="007D4586"/>
    <w:rsid w:val="007D5A96"/>
    <w:rsid w:val="007E1CBC"/>
    <w:rsid w:val="007E1EBA"/>
    <w:rsid w:val="007E257F"/>
    <w:rsid w:val="007E4420"/>
    <w:rsid w:val="007E6431"/>
    <w:rsid w:val="007F1F3A"/>
    <w:rsid w:val="007F36BC"/>
    <w:rsid w:val="007F4AF8"/>
    <w:rsid w:val="007F52D7"/>
    <w:rsid w:val="0080421F"/>
    <w:rsid w:val="00804D44"/>
    <w:rsid w:val="00805363"/>
    <w:rsid w:val="00805472"/>
    <w:rsid w:val="00810AFB"/>
    <w:rsid w:val="00813E26"/>
    <w:rsid w:val="00820157"/>
    <w:rsid w:val="008245BB"/>
    <w:rsid w:val="0082650E"/>
    <w:rsid w:val="0082714E"/>
    <w:rsid w:val="008318B0"/>
    <w:rsid w:val="00832159"/>
    <w:rsid w:val="0083346A"/>
    <w:rsid w:val="00833CB2"/>
    <w:rsid w:val="0083541E"/>
    <w:rsid w:val="00835438"/>
    <w:rsid w:val="00841D9F"/>
    <w:rsid w:val="0084267D"/>
    <w:rsid w:val="00844786"/>
    <w:rsid w:val="00845D5D"/>
    <w:rsid w:val="008511CD"/>
    <w:rsid w:val="00852E89"/>
    <w:rsid w:val="00853EE1"/>
    <w:rsid w:val="00855C6C"/>
    <w:rsid w:val="00855D80"/>
    <w:rsid w:val="008609AF"/>
    <w:rsid w:val="00863534"/>
    <w:rsid w:val="008643A5"/>
    <w:rsid w:val="00864B39"/>
    <w:rsid w:val="00866250"/>
    <w:rsid w:val="00873E05"/>
    <w:rsid w:val="0087754E"/>
    <w:rsid w:val="00880B04"/>
    <w:rsid w:val="008814C5"/>
    <w:rsid w:val="00882ADE"/>
    <w:rsid w:val="0088536A"/>
    <w:rsid w:val="008857C3"/>
    <w:rsid w:val="00886FCE"/>
    <w:rsid w:val="008871AB"/>
    <w:rsid w:val="00890B0D"/>
    <w:rsid w:val="00891250"/>
    <w:rsid w:val="008918D1"/>
    <w:rsid w:val="00896C4F"/>
    <w:rsid w:val="008A2020"/>
    <w:rsid w:val="008A3269"/>
    <w:rsid w:val="008A6515"/>
    <w:rsid w:val="008B0E4B"/>
    <w:rsid w:val="008B1EB5"/>
    <w:rsid w:val="008B27C9"/>
    <w:rsid w:val="008B4D7B"/>
    <w:rsid w:val="008B69F2"/>
    <w:rsid w:val="008C15F2"/>
    <w:rsid w:val="008C354C"/>
    <w:rsid w:val="008D3164"/>
    <w:rsid w:val="008D31A0"/>
    <w:rsid w:val="008D3DBC"/>
    <w:rsid w:val="008D65C3"/>
    <w:rsid w:val="008D77E0"/>
    <w:rsid w:val="008E22EB"/>
    <w:rsid w:val="008E5B00"/>
    <w:rsid w:val="008F07D9"/>
    <w:rsid w:val="008F0F56"/>
    <w:rsid w:val="008F20EB"/>
    <w:rsid w:val="008F68B9"/>
    <w:rsid w:val="008F6DD2"/>
    <w:rsid w:val="00903E47"/>
    <w:rsid w:val="009077A8"/>
    <w:rsid w:val="009117C2"/>
    <w:rsid w:val="009125FB"/>
    <w:rsid w:val="009150C3"/>
    <w:rsid w:val="00921F1F"/>
    <w:rsid w:val="009224CF"/>
    <w:rsid w:val="00924D5B"/>
    <w:rsid w:val="009272E2"/>
    <w:rsid w:val="009308BB"/>
    <w:rsid w:val="009326AE"/>
    <w:rsid w:val="00937085"/>
    <w:rsid w:val="009405E0"/>
    <w:rsid w:val="00941844"/>
    <w:rsid w:val="009448F3"/>
    <w:rsid w:val="00944974"/>
    <w:rsid w:val="009456D4"/>
    <w:rsid w:val="009461F0"/>
    <w:rsid w:val="00950379"/>
    <w:rsid w:val="00951B1E"/>
    <w:rsid w:val="00956767"/>
    <w:rsid w:val="009567D7"/>
    <w:rsid w:val="0096177E"/>
    <w:rsid w:val="00964722"/>
    <w:rsid w:val="009665F2"/>
    <w:rsid w:val="0097115F"/>
    <w:rsid w:val="0097318F"/>
    <w:rsid w:val="009736D4"/>
    <w:rsid w:val="00973FD8"/>
    <w:rsid w:val="00974CA8"/>
    <w:rsid w:val="00981175"/>
    <w:rsid w:val="00990A46"/>
    <w:rsid w:val="009918B3"/>
    <w:rsid w:val="00992F7B"/>
    <w:rsid w:val="00996FF4"/>
    <w:rsid w:val="00997EEE"/>
    <w:rsid w:val="009A0D6B"/>
    <w:rsid w:val="009A1A38"/>
    <w:rsid w:val="009A1EA8"/>
    <w:rsid w:val="009A311A"/>
    <w:rsid w:val="009A4A91"/>
    <w:rsid w:val="009B0634"/>
    <w:rsid w:val="009B07D3"/>
    <w:rsid w:val="009B12FE"/>
    <w:rsid w:val="009B248D"/>
    <w:rsid w:val="009B4C8B"/>
    <w:rsid w:val="009B52D9"/>
    <w:rsid w:val="009C49C1"/>
    <w:rsid w:val="009C6D1A"/>
    <w:rsid w:val="009D0E9B"/>
    <w:rsid w:val="009D1884"/>
    <w:rsid w:val="009D241B"/>
    <w:rsid w:val="009D4E09"/>
    <w:rsid w:val="009D55E2"/>
    <w:rsid w:val="009D61AF"/>
    <w:rsid w:val="009D63CA"/>
    <w:rsid w:val="009E10D5"/>
    <w:rsid w:val="009E2919"/>
    <w:rsid w:val="009E3651"/>
    <w:rsid w:val="009E74EE"/>
    <w:rsid w:val="009F1474"/>
    <w:rsid w:val="009F33C5"/>
    <w:rsid w:val="009F39D4"/>
    <w:rsid w:val="009F61EB"/>
    <w:rsid w:val="00A0060C"/>
    <w:rsid w:val="00A03EF8"/>
    <w:rsid w:val="00A06821"/>
    <w:rsid w:val="00A1597E"/>
    <w:rsid w:val="00A2198F"/>
    <w:rsid w:val="00A242B5"/>
    <w:rsid w:val="00A300A4"/>
    <w:rsid w:val="00A41443"/>
    <w:rsid w:val="00A450DD"/>
    <w:rsid w:val="00A46569"/>
    <w:rsid w:val="00A47FEC"/>
    <w:rsid w:val="00A503D7"/>
    <w:rsid w:val="00A5080C"/>
    <w:rsid w:val="00A51230"/>
    <w:rsid w:val="00A513F7"/>
    <w:rsid w:val="00A5303D"/>
    <w:rsid w:val="00A5462A"/>
    <w:rsid w:val="00A61764"/>
    <w:rsid w:val="00A63EB8"/>
    <w:rsid w:val="00A65809"/>
    <w:rsid w:val="00A71ACE"/>
    <w:rsid w:val="00A731B4"/>
    <w:rsid w:val="00A7356B"/>
    <w:rsid w:val="00A74B7D"/>
    <w:rsid w:val="00A74F7C"/>
    <w:rsid w:val="00A763AD"/>
    <w:rsid w:val="00A76B4A"/>
    <w:rsid w:val="00A771AF"/>
    <w:rsid w:val="00A77BEC"/>
    <w:rsid w:val="00A8316C"/>
    <w:rsid w:val="00A85D9B"/>
    <w:rsid w:val="00A86F0A"/>
    <w:rsid w:val="00A874A4"/>
    <w:rsid w:val="00A87BDB"/>
    <w:rsid w:val="00A93A4B"/>
    <w:rsid w:val="00A95B86"/>
    <w:rsid w:val="00A96C70"/>
    <w:rsid w:val="00AA07D6"/>
    <w:rsid w:val="00AA09EF"/>
    <w:rsid w:val="00AA15E3"/>
    <w:rsid w:val="00AA1A3D"/>
    <w:rsid w:val="00AA4242"/>
    <w:rsid w:val="00AB1864"/>
    <w:rsid w:val="00AB256C"/>
    <w:rsid w:val="00AB35A6"/>
    <w:rsid w:val="00AC0690"/>
    <w:rsid w:val="00AC3AC4"/>
    <w:rsid w:val="00AC4070"/>
    <w:rsid w:val="00AC73F1"/>
    <w:rsid w:val="00AD333F"/>
    <w:rsid w:val="00AD47B6"/>
    <w:rsid w:val="00AD6B38"/>
    <w:rsid w:val="00AD75E2"/>
    <w:rsid w:val="00AE04B4"/>
    <w:rsid w:val="00AE2A8D"/>
    <w:rsid w:val="00AF3A84"/>
    <w:rsid w:val="00AF622B"/>
    <w:rsid w:val="00AF6AB8"/>
    <w:rsid w:val="00B10EE4"/>
    <w:rsid w:val="00B12E22"/>
    <w:rsid w:val="00B13D4D"/>
    <w:rsid w:val="00B1562B"/>
    <w:rsid w:val="00B1572A"/>
    <w:rsid w:val="00B16C16"/>
    <w:rsid w:val="00B20EAA"/>
    <w:rsid w:val="00B219D7"/>
    <w:rsid w:val="00B21B4E"/>
    <w:rsid w:val="00B2281E"/>
    <w:rsid w:val="00B22F3E"/>
    <w:rsid w:val="00B34239"/>
    <w:rsid w:val="00B43538"/>
    <w:rsid w:val="00B47AA3"/>
    <w:rsid w:val="00B535DB"/>
    <w:rsid w:val="00B543C4"/>
    <w:rsid w:val="00B55A3F"/>
    <w:rsid w:val="00B64B76"/>
    <w:rsid w:val="00B66705"/>
    <w:rsid w:val="00B706CA"/>
    <w:rsid w:val="00B74E2A"/>
    <w:rsid w:val="00B75A3B"/>
    <w:rsid w:val="00B80158"/>
    <w:rsid w:val="00B84F13"/>
    <w:rsid w:val="00B93264"/>
    <w:rsid w:val="00B97BD6"/>
    <w:rsid w:val="00BA1AF9"/>
    <w:rsid w:val="00BA1D21"/>
    <w:rsid w:val="00BA219A"/>
    <w:rsid w:val="00BA2532"/>
    <w:rsid w:val="00BA298D"/>
    <w:rsid w:val="00BA720F"/>
    <w:rsid w:val="00BB10A2"/>
    <w:rsid w:val="00BB30C1"/>
    <w:rsid w:val="00BB408F"/>
    <w:rsid w:val="00BC1205"/>
    <w:rsid w:val="00BC175A"/>
    <w:rsid w:val="00BC3208"/>
    <w:rsid w:val="00BC3B15"/>
    <w:rsid w:val="00BC738F"/>
    <w:rsid w:val="00BD0469"/>
    <w:rsid w:val="00BD0722"/>
    <w:rsid w:val="00BD292A"/>
    <w:rsid w:val="00BD46A3"/>
    <w:rsid w:val="00BD4DBA"/>
    <w:rsid w:val="00BD7BD6"/>
    <w:rsid w:val="00BE42B4"/>
    <w:rsid w:val="00BE468F"/>
    <w:rsid w:val="00BE72D7"/>
    <w:rsid w:val="00BE7AFA"/>
    <w:rsid w:val="00BF365C"/>
    <w:rsid w:val="00BF46D8"/>
    <w:rsid w:val="00BF5349"/>
    <w:rsid w:val="00BF7F0A"/>
    <w:rsid w:val="00C05801"/>
    <w:rsid w:val="00C15C48"/>
    <w:rsid w:val="00C21A54"/>
    <w:rsid w:val="00C23FEB"/>
    <w:rsid w:val="00C250B4"/>
    <w:rsid w:val="00C25A54"/>
    <w:rsid w:val="00C2715B"/>
    <w:rsid w:val="00C27312"/>
    <w:rsid w:val="00C274EA"/>
    <w:rsid w:val="00C31C04"/>
    <w:rsid w:val="00C31C7B"/>
    <w:rsid w:val="00C34CF3"/>
    <w:rsid w:val="00C35083"/>
    <w:rsid w:val="00C37C2E"/>
    <w:rsid w:val="00C41CE3"/>
    <w:rsid w:val="00C41F5D"/>
    <w:rsid w:val="00C431FE"/>
    <w:rsid w:val="00C44203"/>
    <w:rsid w:val="00C46519"/>
    <w:rsid w:val="00C52EA9"/>
    <w:rsid w:val="00C55557"/>
    <w:rsid w:val="00C5671A"/>
    <w:rsid w:val="00C567BA"/>
    <w:rsid w:val="00C56E21"/>
    <w:rsid w:val="00C56F66"/>
    <w:rsid w:val="00C61107"/>
    <w:rsid w:val="00C619A6"/>
    <w:rsid w:val="00C62926"/>
    <w:rsid w:val="00C70A89"/>
    <w:rsid w:val="00C7289A"/>
    <w:rsid w:val="00C72EAE"/>
    <w:rsid w:val="00C776A3"/>
    <w:rsid w:val="00C859A5"/>
    <w:rsid w:val="00C95D53"/>
    <w:rsid w:val="00C96270"/>
    <w:rsid w:val="00C9777F"/>
    <w:rsid w:val="00CA012C"/>
    <w:rsid w:val="00CA1DF0"/>
    <w:rsid w:val="00CA54A0"/>
    <w:rsid w:val="00CA603E"/>
    <w:rsid w:val="00CB06DA"/>
    <w:rsid w:val="00CB33FE"/>
    <w:rsid w:val="00CB38A6"/>
    <w:rsid w:val="00CB453C"/>
    <w:rsid w:val="00CB6927"/>
    <w:rsid w:val="00CC1B87"/>
    <w:rsid w:val="00CC4C8F"/>
    <w:rsid w:val="00CC5DC0"/>
    <w:rsid w:val="00CD14BC"/>
    <w:rsid w:val="00CD3C00"/>
    <w:rsid w:val="00CD3DD5"/>
    <w:rsid w:val="00CD4A73"/>
    <w:rsid w:val="00CD7FE0"/>
    <w:rsid w:val="00CE4417"/>
    <w:rsid w:val="00CE53A4"/>
    <w:rsid w:val="00CF082B"/>
    <w:rsid w:val="00CF2167"/>
    <w:rsid w:val="00CF2986"/>
    <w:rsid w:val="00CF550D"/>
    <w:rsid w:val="00CF6AAA"/>
    <w:rsid w:val="00D024CC"/>
    <w:rsid w:val="00D049E0"/>
    <w:rsid w:val="00D06175"/>
    <w:rsid w:val="00D07044"/>
    <w:rsid w:val="00D13373"/>
    <w:rsid w:val="00D142D2"/>
    <w:rsid w:val="00D14877"/>
    <w:rsid w:val="00D2385F"/>
    <w:rsid w:val="00D3126A"/>
    <w:rsid w:val="00D33C54"/>
    <w:rsid w:val="00D409BA"/>
    <w:rsid w:val="00D47A89"/>
    <w:rsid w:val="00D51904"/>
    <w:rsid w:val="00D52747"/>
    <w:rsid w:val="00D61371"/>
    <w:rsid w:val="00D620CA"/>
    <w:rsid w:val="00D64BB2"/>
    <w:rsid w:val="00D658DB"/>
    <w:rsid w:val="00D721A8"/>
    <w:rsid w:val="00D72C04"/>
    <w:rsid w:val="00D81E76"/>
    <w:rsid w:val="00D82BB5"/>
    <w:rsid w:val="00D83305"/>
    <w:rsid w:val="00D85E4D"/>
    <w:rsid w:val="00D87C97"/>
    <w:rsid w:val="00D913E5"/>
    <w:rsid w:val="00D9304D"/>
    <w:rsid w:val="00D93B8D"/>
    <w:rsid w:val="00D952A8"/>
    <w:rsid w:val="00D95D5B"/>
    <w:rsid w:val="00D97C87"/>
    <w:rsid w:val="00D97FD1"/>
    <w:rsid w:val="00DB37ED"/>
    <w:rsid w:val="00DB4E91"/>
    <w:rsid w:val="00DB5A89"/>
    <w:rsid w:val="00DC7730"/>
    <w:rsid w:val="00DD09B3"/>
    <w:rsid w:val="00DD33B0"/>
    <w:rsid w:val="00DD48C5"/>
    <w:rsid w:val="00DD7284"/>
    <w:rsid w:val="00DE2123"/>
    <w:rsid w:val="00DE3A75"/>
    <w:rsid w:val="00DE79A9"/>
    <w:rsid w:val="00DF4B86"/>
    <w:rsid w:val="00DF51FB"/>
    <w:rsid w:val="00DF7F81"/>
    <w:rsid w:val="00E005B5"/>
    <w:rsid w:val="00E02A42"/>
    <w:rsid w:val="00E037E8"/>
    <w:rsid w:val="00E04875"/>
    <w:rsid w:val="00E06EA2"/>
    <w:rsid w:val="00E1195B"/>
    <w:rsid w:val="00E127C5"/>
    <w:rsid w:val="00E12AD3"/>
    <w:rsid w:val="00E13EA8"/>
    <w:rsid w:val="00E147FE"/>
    <w:rsid w:val="00E14845"/>
    <w:rsid w:val="00E203A0"/>
    <w:rsid w:val="00E20E2E"/>
    <w:rsid w:val="00E2655F"/>
    <w:rsid w:val="00E265F4"/>
    <w:rsid w:val="00E31D9E"/>
    <w:rsid w:val="00E3410D"/>
    <w:rsid w:val="00E34B24"/>
    <w:rsid w:val="00E352F1"/>
    <w:rsid w:val="00E3688E"/>
    <w:rsid w:val="00E42DC4"/>
    <w:rsid w:val="00E44BE8"/>
    <w:rsid w:val="00E4657D"/>
    <w:rsid w:val="00E479CD"/>
    <w:rsid w:val="00E535DA"/>
    <w:rsid w:val="00E53FCD"/>
    <w:rsid w:val="00E540FD"/>
    <w:rsid w:val="00E55A53"/>
    <w:rsid w:val="00E63740"/>
    <w:rsid w:val="00E63980"/>
    <w:rsid w:val="00E65220"/>
    <w:rsid w:val="00E664CA"/>
    <w:rsid w:val="00E67CEF"/>
    <w:rsid w:val="00E7040A"/>
    <w:rsid w:val="00E71F74"/>
    <w:rsid w:val="00E71F79"/>
    <w:rsid w:val="00E73033"/>
    <w:rsid w:val="00E73DD9"/>
    <w:rsid w:val="00E75077"/>
    <w:rsid w:val="00E77339"/>
    <w:rsid w:val="00E83775"/>
    <w:rsid w:val="00E87A26"/>
    <w:rsid w:val="00E920B2"/>
    <w:rsid w:val="00E92331"/>
    <w:rsid w:val="00E928D6"/>
    <w:rsid w:val="00E953E6"/>
    <w:rsid w:val="00E97931"/>
    <w:rsid w:val="00EA1ED3"/>
    <w:rsid w:val="00EA22EF"/>
    <w:rsid w:val="00EA3666"/>
    <w:rsid w:val="00EA3EEC"/>
    <w:rsid w:val="00EA451B"/>
    <w:rsid w:val="00EA6B46"/>
    <w:rsid w:val="00EB3901"/>
    <w:rsid w:val="00EB6F2C"/>
    <w:rsid w:val="00EC0C7E"/>
    <w:rsid w:val="00EC1351"/>
    <w:rsid w:val="00ED1766"/>
    <w:rsid w:val="00ED52F3"/>
    <w:rsid w:val="00ED5C6E"/>
    <w:rsid w:val="00EE0C8F"/>
    <w:rsid w:val="00EE23AD"/>
    <w:rsid w:val="00EE2BCB"/>
    <w:rsid w:val="00EE5075"/>
    <w:rsid w:val="00EF03E4"/>
    <w:rsid w:val="00EF25B5"/>
    <w:rsid w:val="00EF4F67"/>
    <w:rsid w:val="00EF5863"/>
    <w:rsid w:val="00F01637"/>
    <w:rsid w:val="00F03DC2"/>
    <w:rsid w:val="00F04E11"/>
    <w:rsid w:val="00F05D70"/>
    <w:rsid w:val="00F05DED"/>
    <w:rsid w:val="00F10CC7"/>
    <w:rsid w:val="00F13C78"/>
    <w:rsid w:val="00F202D2"/>
    <w:rsid w:val="00F22E35"/>
    <w:rsid w:val="00F2599F"/>
    <w:rsid w:val="00F25EBF"/>
    <w:rsid w:val="00F26047"/>
    <w:rsid w:val="00F278EA"/>
    <w:rsid w:val="00F37341"/>
    <w:rsid w:val="00F43E31"/>
    <w:rsid w:val="00F46167"/>
    <w:rsid w:val="00F4685F"/>
    <w:rsid w:val="00F56F62"/>
    <w:rsid w:val="00F6065F"/>
    <w:rsid w:val="00F63826"/>
    <w:rsid w:val="00F67F62"/>
    <w:rsid w:val="00F721F9"/>
    <w:rsid w:val="00F733F1"/>
    <w:rsid w:val="00F7423F"/>
    <w:rsid w:val="00F766CE"/>
    <w:rsid w:val="00F83FF9"/>
    <w:rsid w:val="00F85AB1"/>
    <w:rsid w:val="00F9149A"/>
    <w:rsid w:val="00FA2254"/>
    <w:rsid w:val="00FA2D83"/>
    <w:rsid w:val="00FA601D"/>
    <w:rsid w:val="00FA7F3E"/>
    <w:rsid w:val="00FB0348"/>
    <w:rsid w:val="00FB77B6"/>
    <w:rsid w:val="00FC0B67"/>
    <w:rsid w:val="00FC4CB3"/>
    <w:rsid w:val="00FC4E04"/>
    <w:rsid w:val="00FC739D"/>
    <w:rsid w:val="00FD17EE"/>
    <w:rsid w:val="00FD22D8"/>
    <w:rsid w:val="00FD26ED"/>
    <w:rsid w:val="00FD29EA"/>
    <w:rsid w:val="00FD2D5D"/>
    <w:rsid w:val="00FD3720"/>
    <w:rsid w:val="00FE158C"/>
    <w:rsid w:val="00FE5142"/>
    <w:rsid w:val="00FE639C"/>
    <w:rsid w:val="00FE66A7"/>
    <w:rsid w:val="00FF5F13"/>
    <w:rsid w:val="00FF7053"/>
    <w:rsid w:val="00FF7357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 Знак Знак"/>
    <w:basedOn w:val="a"/>
    <w:rsid w:val="004E13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4030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B55A3F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4FE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04F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404F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D45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3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"/>
    <w:basedOn w:val="a"/>
    <w:rsid w:val="008C35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2692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402E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FD2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E14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9272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2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 Знак Знак"/>
    <w:basedOn w:val="a"/>
    <w:rsid w:val="004E13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4030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B55A3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9192-B02E-43D1-B756-D9BAA00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132</cp:revision>
  <cp:lastPrinted>2015-11-11T06:13:00Z</cp:lastPrinted>
  <dcterms:created xsi:type="dcterms:W3CDTF">2015-11-03T06:17:00Z</dcterms:created>
  <dcterms:modified xsi:type="dcterms:W3CDTF">2016-01-27T07:15:00Z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