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88E" w:rsidRPr="00882D12" w:rsidRDefault="00E3688E" w:rsidP="00E3688E">
      <w:pPr>
        <w:jc w:val="center"/>
        <w:rPr>
          <w:b/>
          <w:spacing w:val="20"/>
          <w:sz w:val="26"/>
          <w:szCs w:val="26"/>
        </w:rPr>
      </w:pPr>
      <w:r w:rsidRPr="00882D12">
        <w:rPr>
          <w:b/>
          <w:spacing w:val="20"/>
          <w:sz w:val="26"/>
          <w:szCs w:val="26"/>
        </w:rPr>
        <w:t>КОНТРОЛЬНО-СЧЁТНАЯ ПАЛАТА ГОРОДА ВОЛОГДЫ</w:t>
      </w:r>
    </w:p>
    <w:p w:rsidR="00E3688E" w:rsidRPr="00882D12" w:rsidRDefault="00E3688E" w:rsidP="00E3688E">
      <w:pPr>
        <w:jc w:val="center"/>
        <w:rPr>
          <w:b/>
          <w:sz w:val="26"/>
          <w:szCs w:val="26"/>
        </w:rPr>
      </w:pPr>
    </w:p>
    <w:p w:rsidR="00E3688E" w:rsidRPr="00882D12" w:rsidRDefault="00E3688E" w:rsidP="00E3688E">
      <w:pPr>
        <w:jc w:val="both"/>
        <w:rPr>
          <w:sz w:val="16"/>
          <w:szCs w:val="16"/>
        </w:rPr>
      </w:pPr>
      <w:r w:rsidRPr="00882D12">
        <w:rPr>
          <w:sz w:val="16"/>
          <w:szCs w:val="16"/>
        </w:rPr>
        <w:t xml:space="preserve">            ул. Козленская, д. 6                                                             Телефон (8172)   72 54 53                                   Факс (8172) 72 98 76</w:t>
      </w:r>
    </w:p>
    <w:p w:rsidR="00E3688E" w:rsidRPr="00882D12" w:rsidRDefault="00E3688E" w:rsidP="00E3688E">
      <w:pPr>
        <w:jc w:val="both"/>
        <w:rPr>
          <w:sz w:val="16"/>
          <w:szCs w:val="16"/>
        </w:rPr>
      </w:pPr>
      <w:r w:rsidRPr="00882D12">
        <w:rPr>
          <w:sz w:val="16"/>
          <w:szCs w:val="16"/>
        </w:rPr>
        <w:t xml:space="preserve">            г. Вологда, 160000                                                                             </w:t>
      </w:r>
    </w:p>
    <w:p w:rsidR="00E3688E" w:rsidRPr="00882D12" w:rsidRDefault="00E3688E" w:rsidP="00E3688E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882D12" w:rsidRPr="00882D12" w:rsidTr="003B21F8">
        <w:trPr>
          <w:trHeight w:val="41"/>
        </w:trPr>
        <w:tc>
          <w:tcPr>
            <w:tcW w:w="9643" w:type="dxa"/>
          </w:tcPr>
          <w:p w:rsidR="00E3688E" w:rsidRPr="00882D12" w:rsidRDefault="00E3688E" w:rsidP="003B21F8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E3688E" w:rsidRPr="00882D12" w:rsidRDefault="00E3688E" w:rsidP="00E3688E">
      <w:pPr>
        <w:ind w:left="5130"/>
        <w:rPr>
          <w:sz w:val="26"/>
          <w:szCs w:val="26"/>
        </w:rPr>
      </w:pPr>
      <w:r w:rsidRPr="00882D12">
        <w:rPr>
          <w:sz w:val="26"/>
          <w:szCs w:val="26"/>
        </w:rPr>
        <w:t>УТВЕРЖДАЮ</w:t>
      </w:r>
    </w:p>
    <w:p w:rsidR="00C56F66" w:rsidRPr="00882D12" w:rsidRDefault="00E3688E" w:rsidP="00E3688E">
      <w:pPr>
        <w:ind w:left="5130"/>
        <w:rPr>
          <w:sz w:val="26"/>
          <w:szCs w:val="26"/>
        </w:rPr>
      </w:pPr>
      <w:r w:rsidRPr="00882D12">
        <w:rPr>
          <w:sz w:val="26"/>
          <w:szCs w:val="26"/>
        </w:rPr>
        <w:t>Председател</w:t>
      </w:r>
      <w:r w:rsidR="0080421F" w:rsidRPr="00882D12">
        <w:rPr>
          <w:sz w:val="26"/>
          <w:szCs w:val="26"/>
        </w:rPr>
        <w:t>ь</w:t>
      </w:r>
    </w:p>
    <w:p w:rsidR="00E3688E" w:rsidRPr="00882D12" w:rsidRDefault="00E3688E" w:rsidP="00E3688E">
      <w:pPr>
        <w:ind w:left="5130"/>
        <w:rPr>
          <w:sz w:val="26"/>
          <w:szCs w:val="26"/>
        </w:rPr>
      </w:pPr>
      <w:r w:rsidRPr="00882D12">
        <w:rPr>
          <w:sz w:val="26"/>
          <w:szCs w:val="26"/>
        </w:rPr>
        <w:t xml:space="preserve">Контрольно-счетной палаты </w:t>
      </w:r>
    </w:p>
    <w:p w:rsidR="0080421F" w:rsidRPr="00882D12" w:rsidRDefault="0080421F" w:rsidP="00E3688E">
      <w:pPr>
        <w:ind w:left="5130"/>
        <w:rPr>
          <w:sz w:val="26"/>
          <w:szCs w:val="26"/>
        </w:rPr>
      </w:pPr>
      <w:r w:rsidRPr="00882D12">
        <w:rPr>
          <w:sz w:val="26"/>
          <w:szCs w:val="26"/>
        </w:rPr>
        <w:t>города Вологды</w:t>
      </w:r>
    </w:p>
    <w:p w:rsidR="00E3688E" w:rsidRPr="00882D12" w:rsidRDefault="0080421F" w:rsidP="00E3688E">
      <w:pPr>
        <w:ind w:left="5130"/>
        <w:rPr>
          <w:sz w:val="26"/>
          <w:szCs w:val="26"/>
        </w:rPr>
      </w:pPr>
      <w:r w:rsidRPr="00882D12">
        <w:rPr>
          <w:sz w:val="26"/>
          <w:szCs w:val="26"/>
        </w:rPr>
        <w:t>А</w:t>
      </w:r>
      <w:r w:rsidR="00C56F66" w:rsidRPr="00882D12">
        <w:rPr>
          <w:sz w:val="26"/>
          <w:szCs w:val="26"/>
        </w:rPr>
        <w:t>.</w:t>
      </w:r>
      <w:r w:rsidRPr="00882D12">
        <w:rPr>
          <w:sz w:val="26"/>
          <w:szCs w:val="26"/>
        </w:rPr>
        <w:t>Н</w:t>
      </w:r>
      <w:r w:rsidR="00C56F66" w:rsidRPr="00882D12">
        <w:rPr>
          <w:sz w:val="26"/>
          <w:szCs w:val="26"/>
        </w:rPr>
        <w:t xml:space="preserve">. </w:t>
      </w:r>
      <w:r w:rsidRPr="00882D12">
        <w:rPr>
          <w:sz w:val="26"/>
          <w:szCs w:val="26"/>
        </w:rPr>
        <w:t>Корсаков</w:t>
      </w:r>
    </w:p>
    <w:p w:rsidR="00E3688E" w:rsidRPr="00882D12" w:rsidRDefault="00E3688E" w:rsidP="007E18E9">
      <w:pPr>
        <w:spacing w:line="276" w:lineRule="auto"/>
        <w:jc w:val="center"/>
        <w:rPr>
          <w:sz w:val="26"/>
          <w:szCs w:val="26"/>
        </w:rPr>
      </w:pPr>
    </w:p>
    <w:p w:rsidR="00404FEB" w:rsidRPr="00882D12" w:rsidRDefault="008D65C3" w:rsidP="007E18E9">
      <w:pPr>
        <w:spacing w:line="276" w:lineRule="auto"/>
        <w:ind w:firstLine="709"/>
        <w:jc w:val="center"/>
        <w:rPr>
          <w:b/>
          <w:bCs/>
          <w:sz w:val="26"/>
          <w:szCs w:val="26"/>
        </w:rPr>
      </w:pPr>
      <w:r w:rsidRPr="00882D12">
        <w:rPr>
          <w:b/>
          <w:bCs/>
          <w:sz w:val="26"/>
          <w:szCs w:val="26"/>
        </w:rPr>
        <w:t>ЗАКЛЮЧЕНИЕ</w:t>
      </w:r>
    </w:p>
    <w:p w:rsidR="00A65809" w:rsidRPr="00882D12" w:rsidRDefault="008D65C3" w:rsidP="007E18E9">
      <w:pPr>
        <w:spacing w:line="276" w:lineRule="auto"/>
        <w:jc w:val="center"/>
        <w:rPr>
          <w:b/>
          <w:bCs/>
          <w:sz w:val="26"/>
          <w:szCs w:val="26"/>
        </w:rPr>
      </w:pPr>
      <w:r w:rsidRPr="00882D12">
        <w:rPr>
          <w:b/>
          <w:bCs/>
          <w:sz w:val="26"/>
          <w:szCs w:val="26"/>
        </w:rPr>
        <w:t xml:space="preserve">на отчет об исполнении бюджета города Вологды </w:t>
      </w:r>
    </w:p>
    <w:p w:rsidR="008D65C3" w:rsidRPr="00882D12" w:rsidRDefault="008D65C3" w:rsidP="007E18E9">
      <w:pPr>
        <w:spacing w:line="276" w:lineRule="auto"/>
        <w:jc w:val="center"/>
        <w:rPr>
          <w:b/>
          <w:bCs/>
          <w:sz w:val="26"/>
          <w:szCs w:val="26"/>
        </w:rPr>
      </w:pPr>
      <w:r w:rsidRPr="00882D12">
        <w:rPr>
          <w:b/>
          <w:bCs/>
          <w:sz w:val="26"/>
          <w:szCs w:val="26"/>
        </w:rPr>
        <w:t xml:space="preserve">за </w:t>
      </w:r>
      <w:r w:rsidR="0080421F" w:rsidRPr="00882D12">
        <w:rPr>
          <w:b/>
          <w:bCs/>
          <w:sz w:val="26"/>
          <w:szCs w:val="26"/>
        </w:rPr>
        <w:t>перв</w:t>
      </w:r>
      <w:r w:rsidR="00534BF4" w:rsidRPr="00882D12">
        <w:rPr>
          <w:b/>
          <w:bCs/>
          <w:sz w:val="26"/>
          <w:szCs w:val="26"/>
        </w:rPr>
        <w:t>ое полугодие</w:t>
      </w:r>
      <w:r w:rsidR="0080421F" w:rsidRPr="00882D12">
        <w:rPr>
          <w:b/>
          <w:bCs/>
          <w:sz w:val="26"/>
          <w:szCs w:val="26"/>
        </w:rPr>
        <w:t xml:space="preserve"> 2015</w:t>
      </w:r>
      <w:r w:rsidRPr="00882D12">
        <w:rPr>
          <w:b/>
          <w:bCs/>
          <w:sz w:val="26"/>
          <w:szCs w:val="26"/>
        </w:rPr>
        <w:t xml:space="preserve"> года</w:t>
      </w:r>
    </w:p>
    <w:p w:rsidR="00E3688E" w:rsidRPr="00882D12" w:rsidRDefault="00E3688E" w:rsidP="007E18E9">
      <w:pPr>
        <w:spacing w:line="276" w:lineRule="auto"/>
        <w:rPr>
          <w:sz w:val="26"/>
          <w:szCs w:val="26"/>
        </w:rPr>
      </w:pPr>
    </w:p>
    <w:p w:rsidR="00E3688E" w:rsidRPr="00882D12" w:rsidRDefault="007E18E9" w:rsidP="007E18E9">
      <w:pPr>
        <w:spacing w:line="276" w:lineRule="auto"/>
        <w:rPr>
          <w:sz w:val="26"/>
          <w:szCs w:val="26"/>
        </w:rPr>
      </w:pPr>
      <w:r w:rsidRPr="00882D12">
        <w:rPr>
          <w:sz w:val="26"/>
          <w:szCs w:val="26"/>
        </w:rPr>
        <w:t>«</w:t>
      </w:r>
      <w:r w:rsidR="00CE53A4" w:rsidRPr="00882D12">
        <w:rPr>
          <w:sz w:val="26"/>
          <w:szCs w:val="26"/>
        </w:rPr>
        <w:t>11</w:t>
      </w:r>
      <w:r w:rsidRPr="00882D12">
        <w:rPr>
          <w:sz w:val="26"/>
          <w:szCs w:val="26"/>
        </w:rPr>
        <w:t>»</w:t>
      </w:r>
      <w:r w:rsidR="0080421F" w:rsidRPr="00882D12">
        <w:rPr>
          <w:sz w:val="26"/>
          <w:szCs w:val="26"/>
        </w:rPr>
        <w:t xml:space="preserve"> </w:t>
      </w:r>
      <w:r w:rsidR="00534BF4" w:rsidRPr="00882D12">
        <w:rPr>
          <w:sz w:val="26"/>
          <w:szCs w:val="26"/>
        </w:rPr>
        <w:t>августа</w:t>
      </w:r>
      <w:r w:rsidR="0007205E" w:rsidRPr="00882D12">
        <w:rPr>
          <w:sz w:val="26"/>
          <w:szCs w:val="26"/>
        </w:rPr>
        <w:t xml:space="preserve"> </w:t>
      </w:r>
      <w:r w:rsidR="00E3688E" w:rsidRPr="00882D12">
        <w:rPr>
          <w:sz w:val="26"/>
          <w:szCs w:val="26"/>
        </w:rPr>
        <w:t>201</w:t>
      </w:r>
      <w:r w:rsidR="0080421F" w:rsidRPr="00882D12">
        <w:rPr>
          <w:sz w:val="26"/>
          <w:szCs w:val="26"/>
        </w:rPr>
        <w:t>5</w:t>
      </w:r>
      <w:r w:rsidR="00E3688E" w:rsidRPr="00882D12">
        <w:rPr>
          <w:sz w:val="26"/>
          <w:szCs w:val="26"/>
        </w:rPr>
        <w:t xml:space="preserve"> года                       </w:t>
      </w:r>
      <w:r w:rsidR="0007205E" w:rsidRPr="00882D12">
        <w:rPr>
          <w:sz w:val="26"/>
          <w:szCs w:val="26"/>
        </w:rPr>
        <w:t xml:space="preserve">                          </w:t>
      </w:r>
      <w:r w:rsidR="00E3688E" w:rsidRPr="00882D12">
        <w:rPr>
          <w:sz w:val="26"/>
          <w:szCs w:val="26"/>
        </w:rPr>
        <w:t xml:space="preserve">                               </w:t>
      </w:r>
      <w:r w:rsidR="0080421F" w:rsidRPr="00882D12">
        <w:rPr>
          <w:sz w:val="26"/>
          <w:szCs w:val="26"/>
        </w:rPr>
        <w:t xml:space="preserve">      </w:t>
      </w:r>
      <w:r w:rsidR="00E3688E" w:rsidRPr="00882D12">
        <w:rPr>
          <w:sz w:val="26"/>
          <w:szCs w:val="26"/>
        </w:rPr>
        <w:t xml:space="preserve">    </w:t>
      </w:r>
      <w:r w:rsidR="0080421F" w:rsidRPr="00882D12">
        <w:rPr>
          <w:sz w:val="26"/>
          <w:szCs w:val="26"/>
        </w:rPr>
        <w:t xml:space="preserve">    </w:t>
      </w:r>
      <w:r w:rsidR="00E3688E" w:rsidRPr="00882D12">
        <w:rPr>
          <w:sz w:val="26"/>
          <w:szCs w:val="26"/>
        </w:rPr>
        <w:t xml:space="preserve">  </w:t>
      </w:r>
      <w:r w:rsidRPr="00882D12">
        <w:rPr>
          <w:sz w:val="26"/>
          <w:szCs w:val="26"/>
        </w:rPr>
        <w:t xml:space="preserve"> </w:t>
      </w:r>
      <w:r w:rsidR="00E3688E" w:rsidRPr="00882D12">
        <w:rPr>
          <w:sz w:val="26"/>
          <w:szCs w:val="26"/>
        </w:rPr>
        <w:t xml:space="preserve">        №</w:t>
      </w:r>
      <w:r w:rsidR="00CE53A4" w:rsidRPr="00882D12">
        <w:rPr>
          <w:sz w:val="26"/>
          <w:szCs w:val="26"/>
        </w:rPr>
        <w:t>13</w:t>
      </w:r>
    </w:p>
    <w:p w:rsidR="00324654" w:rsidRPr="00882D12" w:rsidRDefault="00324654" w:rsidP="007E18E9">
      <w:pPr>
        <w:spacing w:line="276" w:lineRule="auto"/>
        <w:ind w:firstLine="709"/>
        <w:jc w:val="center"/>
        <w:rPr>
          <w:b/>
          <w:bCs/>
          <w:sz w:val="26"/>
          <w:szCs w:val="26"/>
        </w:rPr>
      </w:pPr>
    </w:p>
    <w:p w:rsidR="00404FEB" w:rsidRPr="00882D12" w:rsidRDefault="00404FEB" w:rsidP="007E18E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proofErr w:type="gramStart"/>
      <w:r w:rsidRPr="00882D12">
        <w:rPr>
          <w:sz w:val="26"/>
          <w:szCs w:val="26"/>
        </w:rPr>
        <w:t xml:space="preserve">В соответствии с пунктом 8 Положения о Контрольно-счетной палате города Вологды, утвержденного решением Вологодской городской Думы от 29.09.2011 №759, </w:t>
      </w:r>
      <w:r w:rsidR="00AB1864" w:rsidRPr="00882D12">
        <w:rPr>
          <w:sz w:val="26"/>
          <w:szCs w:val="26"/>
        </w:rPr>
        <w:t xml:space="preserve">поручением Вологодской городской Думы </w:t>
      </w:r>
      <w:r w:rsidR="006110ED" w:rsidRPr="00882D12">
        <w:rPr>
          <w:sz w:val="26"/>
          <w:szCs w:val="26"/>
        </w:rPr>
        <w:t xml:space="preserve">от </w:t>
      </w:r>
      <w:r w:rsidR="00EA22EF" w:rsidRPr="00882D12">
        <w:rPr>
          <w:sz w:val="26"/>
          <w:szCs w:val="26"/>
        </w:rPr>
        <w:t>04</w:t>
      </w:r>
      <w:r w:rsidR="006110ED" w:rsidRPr="00882D12">
        <w:rPr>
          <w:sz w:val="26"/>
          <w:szCs w:val="26"/>
        </w:rPr>
        <w:t>.</w:t>
      </w:r>
      <w:r w:rsidR="00EA22EF" w:rsidRPr="00882D12">
        <w:rPr>
          <w:sz w:val="26"/>
          <w:szCs w:val="26"/>
        </w:rPr>
        <w:t>08</w:t>
      </w:r>
      <w:r w:rsidR="006110ED" w:rsidRPr="00882D12">
        <w:rPr>
          <w:sz w:val="26"/>
          <w:szCs w:val="26"/>
        </w:rPr>
        <w:t>.201</w:t>
      </w:r>
      <w:r w:rsidR="002B622E" w:rsidRPr="00882D12">
        <w:rPr>
          <w:sz w:val="26"/>
          <w:szCs w:val="26"/>
        </w:rPr>
        <w:t>5</w:t>
      </w:r>
      <w:r w:rsidR="006110ED" w:rsidRPr="00882D12">
        <w:rPr>
          <w:sz w:val="26"/>
          <w:szCs w:val="26"/>
        </w:rPr>
        <w:t xml:space="preserve"> №0</w:t>
      </w:r>
      <w:r w:rsidR="002B622E" w:rsidRPr="00882D12">
        <w:rPr>
          <w:sz w:val="26"/>
          <w:szCs w:val="26"/>
        </w:rPr>
        <w:t>4</w:t>
      </w:r>
      <w:r w:rsidR="006110ED" w:rsidRPr="00882D12">
        <w:rPr>
          <w:sz w:val="26"/>
          <w:szCs w:val="26"/>
        </w:rPr>
        <w:t>-</w:t>
      </w:r>
      <w:r w:rsidR="002B622E" w:rsidRPr="00882D12">
        <w:rPr>
          <w:sz w:val="26"/>
          <w:szCs w:val="26"/>
        </w:rPr>
        <w:t>09</w:t>
      </w:r>
      <w:r w:rsidR="006110ED" w:rsidRPr="00882D12">
        <w:rPr>
          <w:sz w:val="26"/>
          <w:szCs w:val="26"/>
        </w:rPr>
        <w:t>/</w:t>
      </w:r>
      <w:r w:rsidR="00EA22EF" w:rsidRPr="00882D12">
        <w:rPr>
          <w:sz w:val="26"/>
          <w:szCs w:val="26"/>
        </w:rPr>
        <w:t>1634</w:t>
      </w:r>
      <w:r w:rsidR="0024004C" w:rsidRPr="00882D12">
        <w:rPr>
          <w:sz w:val="26"/>
          <w:szCs w:val="26"/>
        </w:rPr>
        <w:t>-1</w:t>
      </w:r>
      <w:r w:rsidR="002B622E" w:rsidRPr="00882D12">
        <w:rPr>
          <w:sz w:val="26"/>
          <w:szCs w:val="26"/>
        </w:rPr>
        <w:t>5</w:t>
      </w:r>
      <w:r w:rsidR="006110ED" w:rsidRPr="00882D12">
        <w:rPr>
          <w:sz w:val="26"/>
          <w:szCs w:val="26"/>
        </w:rPr>
        <w:t xml:space="preserve"> </w:t>
      </w:r>
      <w:r w:rsidRPr="00882D12">
        <w:rPr>
          <w:sz w:val="26"/>
          <w:szCs w:val="26"/>
        </w:rPr>
        <w:t>Контрольно-счетной палатой проведен анализ исполнени</w:t>
      </w:r>
      <w:r w:rsidR="00590404" w:rsidRPr="00882D12">
        <w:rPr>
          <w:sz w:val="26"/>
          <w:szCs w:val="26"/>
        </w:rPr>
        <w:t>я</w:t>
      </w:r>
      <w:r w:rsidRPr="00882D12">
        <w:rPr>
          <w:sz w:val="26"/>
          <w:szCs w:val="26"/>
        </w:rPr>
        <w:t xml:space="preserve"> бюджета города Вологды за </w:t>
      </w:r>
      <w:r w:rsidR="002B622E" w:rsidRPr="00882D12">
        <w:rPr>
          <w:sz w:val="26"/>
          <w:szCs w:val="26"/>
        </w:rPr>
        <w:t>перв</w:t>
      </w:r>
      <w:r w:rsidR="00534BF4" w:rsidRPr="00882D12">
        <w:rPr>
          <w:sz w:val="26"/>
          <w:szCs w:val="26"/>
        </w:rPr>
        <w:t>ое</w:t>
      </w:r>
      <w:r w:rsidR="002B622E" w:rsidRPr="00882D12">
        <w:rPr>
          <w:sz w:val="26"/>
          <w:szCs w:val="26"/>
        </w:rPr>
        <w:t xml:space="preserve"> </w:t>
      </w:r>
      <w:r w:rsidR="00534BF4" w:rsidRPr="00882D12">
        <w:rPr>
          <w:sz w:val="26"/>
          <w:szCs w:val="26"/>
        </w:rPr>
        <w:t>полугодие</w:t>
      </w:r>
      <w:r w:rsidRPr="00882D12">
        <w:rPr>
          <w:sz w:val="26"/>
          <w:szCs w:val="26"/>
        </w:rPr>
        <w:t xml:space="preserve"> 201</w:t>
      </w:r>
      <w:r w:rsidR="002B622E" w:rsidRPr="00882D12">
        <w:rPr>
          <w:sz w:val="26"/>
          <w:szCs w:val="26"/>
        </w:rPr>
        <w:t>5</w:t>
      </w:r>
      <w:r w:rsidRPr="00882D12">
        <w:rPr>
          <w:sz w:val="26"/>
          <w:szCs w:val="26"/>
        </w:rPr>
        <w:t xml:space="preserve"> года</w:t>
      </w:r>
      <w:r w:rsidR="00590404" w:rsidRPr="00882D12">
        <w:rPr>
          <w:sz w:val="26"/>
          <w:szCs w:val="26"/>
        </w:rPr>
        <w:t xml:space="preserve"> на основании Отчета</w:t>
      </w:r>
      <w:r w:rsidRPr="00882D12">
        <w:rPr>
          <w:sz w:val="26"/>
          <w:szCs w:val="26"/>
        </w:rPr>
        <w:t xml:space="preserve"> об исполнении бюджета города Вологды за </w:t>
      </w:r>
      <w:r w:rsidR="002B622E" w:rsidRPr="00882D12">
        <w:rPr>
          <w:sz w:val="26"/>
          <w:szCs w:val="26"/>
        </w:rPr>
        <w:t>перв</w:t>
      </w:r>
      <w:r w:rsidR="00534BF4" w:rsidRPr="00882D12">
        <w:rPr>
          <w:sz w:val="26"/>
          <w:szCs w:val="26"/>
        </w:rPr>
        <w:t>ое полугодие</w:t>
      </w:r>
      <w:r w:rsidRPr="00882D12">
        <w:rPr>
          <w:sz w:val="26"/>
          <w:szCs w:val="26"/>
        </w:rPr>
        <w:t xml:space="preserve"> 201</w:t>
      </w:r>
      <w:r w:rsidR="002B622E" w:rsidRPr="00882D12">
        <w:rPr>
          <w:sz w:val="26"/>
          <w:szCs w:val="26"/>
        </w:rPr>
        <w:t>5</w:t>
      </w:r>
      <w:r w:rsidRPr="00882D12">
        <w:rPr>
          <w:sz w:val="26"/>
          <w:szCs w:val="26"/>
        </w:rPr>
        <w:t xml:space="preserve"> года</w:t>
      </w:r>
      <w:r w:rsidR="004A1E58" w:rsidRPr="00882D12">
        <w:rPr>
          <w:sz w:val="26"/>
          <w:szCs w:val="26"/>
        </w:rPr>
        <w:t>,</w:t>
      </w:r>
      <w:r w:rsidRPr="00882D12">
        <w:rPr>
          <w:sz w:val="26"/>
          <w:szCs w:val="26"/>
        </w:rPr>
        <w:t xml:space="preserve"> утвержден</w:t>
      </w:r>
      <w:r w:rsidR="004A1E58" w:rsidRPr="00882D12">
        <w:rPr>
          <w:sz w:val="26"/>
          <w:szCs w:val="26"/>
        </w:rPr>
        <w:t>ного</w:t>
      </w:r>
      <w:r w:rsidRPr="00882D12">
        <w:rPr>
          <w:sz w:val="26"/>
          <w:szCs w:val="26"/>
        </w:rPr>
        <w:t xml:space="preserve"> постановлением Администрации города </w:t>
      </w:r>
      <w:r w:rsidR="002B622E" w:rsidRPr="00882D12">
        <w:rPr>
          <w:sz w:val="26"/>
          <w:szCs w:val="26"/>
        </w:rPr>
        <w:t xml:space="preserve">Вологды </w:t>
      </w:r>
      <w:r w:rsidRPr="00882D12">
        <w:rPr>
          <w:sz w:val="26"/>
          <w:szCs w:val="26"/>
        </w:rPr>
        <w:t xml:space="preserve">от </w:t>
      </w:r>
      <w:r w:rsidR="00DD7284" w:rsidRPr="00882D12">
        <w:rPr>
          <w:sz w:val="26"/>
          <w:szCs w:val="26"/>
        </w:rPr>
        <w:t>2</w:t>
      </w:r>
      <w:r w:rsidR="00534BF4" w:rsidRPr="00882D12">
        <w:rPr>
          <w:sz w:val="26"/>
          <w:szCs w:val="26"/>
        </w:rPr>
        <w:t>7</w:t>
      </w:r>
      <w:r w:rsidRPr="00882D12">
        <w:rPr>
          <w:sz w:val="26"/>
          <w:szCs w:val="26"/>
        </w:rPr>
        <w:t>.</w:t>
      </w:r>
      <w:r w:rsidR="002B622E" w:rsidRPr="00882D12">
        <w:rPr>
          <w:sz w:val="26"/>
          <w:szCs w:val="26"/>
        </w:rPr>
        <w:t>0</w:t>
      </w:r>
      <w:r w:rsidR="00534BF4" w:rsidRPr="00882D12">
        <w:rPr>
          <w:sz w:val="26"/>
          <w:szCs w:val="26"/>
        </w:rPr>
        <w:t>7</w:t>
      </w:r>
      <w:r w:rsidRPr="00882D12">
        <w:rPr>
          <w:sz w:val="26"/>
          <w:szCs w:val="26"/>
        </w:rPr>
        <w:t>.201</w:t>
      </w:r>
      <w:r w:rsidR="002B622E" w:rsidRPr="00882D12">
        <w:rPr>
          <w:sz w:val="26"/>
          <w:szCs w:val="26"/>
        </w:rPr>
        <w:t>5</w:t>
      </w:r>
      <w:proofErr w:type="gramEnd"/>
      <w:r w:rsidRPr="00882D12">
        <w:rPr>
          <w:sz w:val="26"/>
          <w:szCs w:val="26"/>
        </w:rPr>
        <w:t xml:space="preserve"> №</w:t>
      </w:r>
      <w:r w:rsidR="00534BF4" w:rsidRPr="00882D12">
        <w:rPr>
          <w:sz w:val="26"/>
          <w:szCs w:val="26"/>
        </w:rPr>
        <w:t>5571</w:t>
      </w:r>
      <w:r w:rsidR="004A1E58" w:rsidRPr="00882D12">
        <w:rPr>
          <w:sz w:val="26"/>
          <w:szCs w:val="26"/>
        </w:rPr>
        <w:t>,</w:t>
      </w:r>
      <w:r w:rsidRPr="00882D12">
        <w:rPr>
          <w:sz w:val="26"/>
          <w:szCs w:val="26"/>
        </w:rPr>
        <w:t xml:space="preserve"> и представлен</w:t>
      </w:r>
      <w:r w:rsidR="004A1E58" w:rsidRPr="00882D12">
        <w:rPr>
          <w:sz w:val="26"/>
          <w:szCs w:val="26"/>
        </w:rPr>
        <w:t>ных</w:t>
      </w:r>
      <w:r w:rsidR="00207142" w:rsidRPr="00882D12">
        <w:rPr>
          <w:sz w:val="26"/>
          <w:szCs w:val="26"/>
        </w:rPr>
        <w:t xml:space="preserve"> </w:t>
      </w:r>
      <w:r w:rsidRPr="00882D12">
        <w:rPr>
          <w:sz w:val="26"/>
          <w:szCs w:val="26"/>
        </w:rPr>
        <w:t>одновременно с ним документов, предусмотренных пунктом 39 Положения о бюджетном процессе в городе Вологде</w:t>
      </w:r>
      <w:r w:rsidR="00040B81" w:rsidRPr="00882D12">
        <w:rPr>
          <w:sz w:val="26"/>
          <w:szCs w:val="26"/>
        </w:rPr>
        <w:t>, утвержденного решением Вологодской городской Думы от 23.06.2006 №108</w:t>
      </w:r>
      <w:r w:rsidR="00264017">
        <w:rPr>
          <w:sz w:val="26"/>
          <w:szCs w:val="26"/>
        </w:rPr>
        <w:t>.</w:t>
      </w:r>
    </w:p>
    <w:p w:rsidR="00F766CE" w:rsidRPr="00882D12" w:rsidRDefault="00404FEB" w:rsidP="007E18E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6"/>
          <w:szCs w:val="26"/>
        </w:rPr>
      </w:pPr>
      <w:r w:rsidRPr="00882D12">
        <w:rPr>
          <w:sz w:val="26"/>
          <w:szCs w:val="26"/>
        </w:rPr>
        <w:t xml:space="preserve">В течение </w:t>
      </w:r>
      <w:r w:rsidR="002B622E" w:rsidRPr="00882D12">
        <w:rPr>
          <w:sz w:val="26"/>
          <w:szCs w:val="26"/>
        </w:rPr>
        <w:t xml:space="preserve">первого </w:t>
      </w:r>
      <w:r w:rsidR="00707030" w:rsidRPr="00882D12">
        <w:rPr>
          <w:sz w:val="26"/>
          <w:szCs w:val="26"/>
        </w:rPr>
        <w:t>полугодия</w:t>
      </w:r>
      <w:r w:rsidRPr="00882D12">
        <w:rPr>
          <w:sz w:val="26"/>
          <w:szCs w:val="26"/>
        </w:rPr>
        <w:t xml:space="preserve"> 201</w:t>
      </w:r>
      <w:r w:rsidR="002B622E" w:rsidRPr="00882D12">
        <w:rPr>
          <w:sz w:val="26"/>
          <w:szCs w:val="26"/>
        </w:rPr>
        <w:t>5</w:t>
      </w:r>
      <w:r w:rsidRPr="00882D12">
        <w:rPr>
          <w:sz w:val="26"/>
          <w:szCs w:val="26"/>
        </w:rPr>
        <w:t xml:space="preserve"> года в решение Вологодс</w:t>
      </w:r>
      <w:r w:rsidR="00DD7284" w:rsidRPr="00882D12">
        <w:rPr>
          <w:sz w:val="26"/>
          <w:szCs w:val="26"/>
        </w:rPr>
        <w:t xml:space="preserve">кой городской Думы от </w:t>
      </w:r>
      <w:r w:rsidR="002B622E" w:rsidRPr="00882D12">
        <w:rPr>
          <w:sz w:val="26"/>
          <w:szCs w:val="26"/>
        </w:rPr>
        <w:t>2</w:t>
      </w:r>
      <w:r w:rsidR="007C62CC" w:rsidRPr="00882D12">
        <w:rPr>
          <w:sz w:val="26"/>
          <w:szCs w:val="26"/>
        </w:rPr>
        <w:t>9</w:t>
      </w:r>
      <w:r w:rsidR="00DD7284" w:rsidRPr="00882D12">
        <w:rPr>
          <w:sz w:val="26"/>
          <w:szCs w:val="26"/>
        </w:rPr>
        <w:t>.12.201</w:t>
      </w:r>
      <w:r w:rsidR="002B622E" w:rsidRPr="00882D12">
        <w:rPr>
          <w:sz w:val="26"/>
          <w:szCs w:val="26"/>
        </w:rPr>
        <w:t>4</w:t>
      </w:r>
      <w:r w:rsidRPr="00882D12">
        <w:rPr>
          <w:sz w:val="26"/>
          <w:szCs w:val="26"/>
        </w:rPr>
        <w:t xml:space="preserve"> №1</w:t>
      </w:r>
      <w:r w:rsidR="002B622E" w:rsidRPr="00882D12">
        <w:rPr>
          <w:sz w:val="26"/>
          <w:szCs w:val="26"/>
        </w:rPr>
        <w:t>25</w:t>
      </w:r>
      <w:r w:rsidRPr="00882D12">
        <w:rPr>
          <w:sz w:val="26"/>
          <w:szCs w:val="26"/>
        </w:rPr>
        <w:t xml:space="preserve"> «О </w:t>
      </w:r>
      <w:r w:rsidR="002B622E" w:rsidRPr="00882D12">
        <w:rPr>
          <w:sz w:val="26"/>
          <w:szCs w:val="26"/>
        </w:rPr>
        <w:t>Б</w:t>
      </w:r>
      <w:r w:rsidRPr="00882D12">
        <w:rPr>
          <w:sz w:val="26"/>
          <w:szCs w:val="26"/>
        </w:rPr>
        <w:t>юджете города Вологды на 201</w:t>
      </w:r>
      <w:r w:rsidR="002B622E" w:rsidRPr="00882D12">
        <w:rPr>
          <w:sz w:val="26"/>
          <w:szCs w:val="26"/>
        </w:rPr>
        <w:t>5</w:t>
      </w:r>
      <w:r w:rsidRPr="00882D12">
        <w:rPr>
          <w:sz w:val="26"/>
          <w:szCs w:val="26"/>
        </w:rPr>
        <w:t xml:space="preserve"> год и плановый период 201</w:t>
      </w:r>
      <w:r w:rsidR="002B622E" w:rsidRPr="00882D12">
        <w:rPr>
          <w:sz w:val="26"/>
          <w:szCs w:val="26"/>
        </w:rPr>
        <w:t>6</w:t>
      </w:r>
      <w:r w:rsidRPr="00882D12">
        <w:rPr>
          <w:sz w:val="26"/>
          <w:szCs w:val="26"/>
        </w:rPr>
        <w:t xml:space="preserve"> и 201</w:t>
      </w:r>
      <w:r w:rsidR="002B622E" w:rsidRPr="00882D12">
        <w:rPr>
          <w:sz w:val="26"/>
          <w:szCs w:val="26"/>
        </w:rPr>
        <w:t>7</w:t>
      </w:r>
      <w:r w:rsidRPr="00882D12">
        <w:rPr>
          <w:sz w:val="26"/>
          <w:szCs w:val="26"/>
        </w:rPr>
        <w:t xml:space="preserve"> годов» вн</w:t>
      </w:r>
      <w:r w:rsidR="00AD333F" w:rsidRPr="00882D12">
        <w:rPr>
          <w:sz w:val="26"/>
          <w:szCs w:val="26"/>
        </w:rPr>
        <w:t xml:space="preserve">осились изменения </w:t>
      </w:r>
      <w:r w:rsidR="00E127C5" w:rsidRPr="00882D12">
        <w:rPr>
          <w:sz w:val="26"/>
          <w:szCs w:val="26"/>
        </w:rPr>
        <w:t>четыре</w:t>
      </w:r>
      <w:r w:rsidR="001B1E48" w:rsidRPr="00882D12">
        <w:rPr>
          <w:sz w:val="26"/>
          <w:szCs w:val="26"/>
        </w:rPr>
        <w:t xml:space="preserve"> </w:t>
      </w:r>
      <w:r w:rsidR="00AD333F" w:rsidRPr="00882D12">
        <w:rPr>
          <w:sz w:val="26"/>
          <w:szCs w:val="26"/>
        </w:rPr>
        <w:t>раза</w:t>
      </w:r>
      <w:r w:rsidRPr="00882D12">
        <w:rPr>
          <w:sz w:val="26"/>
          <w:szCs w:val="26"/>
        </w:rPr>
        <w:t>, в результате котор</w:t>
      </w:r>
      <w:r w:rsidR="002B622E" w:rsidRPr="00882D12">
        <w:rPr>
          <w:sz w:val="26"/>
          <w:szCs w:val="26"/>
        </w:rPr>
        <w:t>ого</w:t>
      </w:r>
      <w:r w:rsidRPr="00882D12">
        <w:rPr>
          <w:sz w:val="26"/>
          <w:szCs w:val="26"/>
        </w:rPr>
        <w:t xml:space="preserve"> увеличены бюджетные назначения по доходам на </w:t>
      </w:r>
      <w:r w:rsidR="00095D85" w:rsidRPr="00882D12">
        <w:rPr>
          <w:sz w:val="26"/>
          <w:szCs w:val="26"/>
        </w:rPr>
        <w:t>479,4</w:t>
      </w:r>
      <w:r w:rsidR="002B622E" w:rsidRPr="00882D12">
        <w:rPr>
          <w:bCs/>
          <w:iCs/>
          <w:sz w:val="26"/>
          <w:szCs w:val="26"/>
        </w:rPr>
        <w:t xml:space="preserve"> </w:t>
      </w:r>
      <w:proofErr w:type="gramStart"/>
      <w:r w:rsidR="002B622E" w:rsidRPr="00882D12">
        <w:rPr>
          <w:bCs/>
          <w:iCs/>
          <w:sz w:val="26"/>
          <w:szCs w:val="26"/>
        </w:rPr>
        <w:t>млн</w:t>
      </w:r>
      <w:proofErr w:type="gramEnd"/>
      <w:r w:rsidR="002B622E" w:rsidRPr="00882D12">
        <w:rPr>
          <w:bCs/>
          <w:iCs/>
          <w:sz w:val="26"/>
          <w:szCs w:val="26"/>
        </w:rPr>
        <w:t xml:space="preserve"> рублей</w:t>
      </w:r>
      <w:r w:rsidR="002B622E" w:rsidRPr="00882D12">
        <w:rPr>
          <w:sz w:val="26"/>
          <w:szCs w:val="26"/>
        </w:rPr>
        <w:t xml:space="preserve"> </w:t>
      </w:r>
      <w:r w:rsidR="008A2020" w:rsidRPr="00882D12">
        <w:rPr>
          <w:sz w:val="26"/>
          <w:szCs w:val="26"/>
        </w:rPr>
        <w:t xml:space="preserve">(на </w:t>
      </w:r>
      <w:r w:rsidR="00095D85" w:rsidRPr="00882D12">
        <w:rPr>
          <w:sz w:val="26"/>
          <w:szCs w:val="26"/>
        </w:rPr>
        <w:t>7,6</w:t>
      </w:r>
      <w:r w:rsidR="008A2020" w:rsidRPr="00882D12">
        <w:rPr>
          <w:sz w:val="26"/>
          <w:szCs w:val="26"/>
        </w:rPr>
        <w:t>%)</w:t>
      </w:r>
      <w:r w:rsidR="00211A9C" w:rsidRPr="00882D12">
        <w:rPr>
          <w:sz w:val="26"/>
          <w:szCs w:val="26"/>
        </w:rPr>
        <w:t>, расходам –</w:t>
      </w:r>
      <w:r w:rsidR="008A2020" w:rsidRPr="00882D12">
        <w:rPr>
          <w:sz w:val="26"/>
          <w:szCs w:val="26"/>
        </w:rPr>
        <w:t xml:space="preserve"> </w:t>
      </w:r>
      <w:r w:rsidR="00211A9C" w:rsidRPr="00882D12">
        <w:rPr>
          <w:sz w:val="26"/>
          <w:szCs w:val="26"/>
        </w:rPr>
        <w:t xml:space="preserve">на </w:t>
      </w:r>
      <w:r w:rsidR="00095D85" w:rsidRPr="00882D12">
        <w:rPr>
          <w:sz w:val="26"/>
          <w:szCs w:val="26"/>
        </w:rPr>
        <w:t>756,9</w:t>
      </w:r>
      <w:r w:rsidR="00EE0C8F" w:rsidRPr="00882D12">
        <w:rPr>
          <w:sz w:val="26"/>
          <w:szCs w:val="26"/>
        </w:rPr>
        <w:t xml:space="preserve"> млн рублей (на </w:t>
      </w:r>
      <w:r w:rsidR="00095D85" w:rsidRPr="00882D12">
        <w:rPr>
          <w:sz w:val="26"/>
          <w:szCs w:val="26"/>
        </w:rPr>
        <w:t>12,0</w:t>
      </w:r>
      <w:r w:rsidR="00EE0C8F" w:rsidRPr="00882D12">
        <w:rPr>
          <w:sz w:val="26"/>
          <w:szCs w:val="26"/>
        </w:rPr>
        <w:t>%)</w:t>
      </w:r>
      <w:r w:rsidRPr="00882D12">
        <w:rPr>
          <w:sz w:val="26"/>
          <w:szCs w:val="26"/>
        </w:rPr>
        <w:t xml:space="preserve">, дефицит бюджета города </w:t>
      </w:r>
      <w:r w:rsidR="00095D85" w:rsidRPr="00882D12">
        <w:rPr>
          <w:sz w:val="26"/>
          <w:szCs w:val="26"/>
        </w:rPr>
        <w:t>увеличился</w:t>
      </w:r>
      <w:r w:rsidR="00C72EAE" w:rsidRPr="00882D12">
        <w:rPr>
          <w:sz w:val="26"/>
          <w:szCs w:val="26"/>
        </w:rPr>
        <w:t xml:space="preserve"> </w:t>
      </w:r>
      <w:r w:rsidRPr="00882D12">
        <w:rPr>
          <w:sz w:val="26"/>
          <w:szCs w:val="26"/>
        </w:rPr>
        <w:t xml:space="preserve">с </w:t>
      </w:r>
      <w:r w:rsidR="00CB06DA" w:rsidRPr="00882D12">
        <w:rPr>
          <w:sz w:val="26"/>
          <w:szCs w:val="26"/>
        </w:rPr>
        <w:t>0,6</w:t>
      </w:r>
      <w:r w:rsidR="001B1E48" w:rsidRPr="00882D12">
        <w:rPr>
          <w:sz w:val="26"/>
          <w:szCs w:val="26"/>
        </w:rPr>
        <w:t>%</w:t>
      </w:r>
      <w:r w:rsidRPr="00882D12">
        <w:rPr>
          <w:sz w:val="26"/>
          <w:szCs w:val="26"/>
        </w:rPr>
        <w:t xml:space="preserve"> до </w:t>
      </w:r>
      <w:r w:rsidR="00095D85" w:rsidRPr="00882D12">
        <w:rPr>
          <w:sz w:val="26"/>
          <w:szCs w:val="26"/>
        </w:rPr>
        <w:t>9,4</w:t>
      </w:r>
      <w:r w:rsidR="00CB06DA" w:rsidRPr="00882D12">
        <w:rPr>
          <w:sz w:val="26"/>
          <w:szCs w:val="26"/>
        </w:rPr>
        <w:t xml:space="preserve"> процента.</w:t>
      </w:r>
      <w:r w:rsidR="00013781" w:rsidRPr="00882D12">
        <w:rPr>
          <w:sz w:val="26"/>
          <w:szCs w:val="26"/>
        </w:rPr>
        <w:t xml:space="preserve"> </w:t>
      </w:r>
      <w:r w:rsidR="005B5A17" w:rsidRPr="00882D12">
        <w:rPr>
          <w:sz w:val="26"/>
          <w:szCs w:val="26"/>
        </w:rPr>
        <w:t>П</w:t>
      </w:r>
      <w:r w:rsidR="007D2695" w:rsidRPr="00882D12">
        <w:rPr>
          <w:sz w:val="26"/>
          <w:szCs w:val="26"/>
        </w:rPr>
        <w:t>ри внесении поправок в бюджет города</w:t>
      </w:r>
      <w:r w:rsidR="005B5A17" w:rsidRPr="00882D12">
        <w:rPr>
          <w:sz w:val="26"/>
          <w:szCs w:val="26"/>
        </w:rPr>
        <w:t xml:space="preserve"> </w:t>
      </w:r>
      <w:r w:rsidR="00CA1DF0" w:rsidRPr="00882D12">
        <w:rPr>
          <w:sz w:val="26"/>
          <w:szCs w:val="26"/>
        </w:rPr>
        <w:t xml:space="preserve">в </w:t>
      </w:r>
      <w:r w:rsidR="00F766CE" w:rsidRPr="00882D12">
        <w:rPr>
          <w:sz w:val="26"/>
          <w:szCs w:val="26"/>
        </w:rPr>
        <w:t>июне</w:t>
      </w:r>
      <w:r w:rsidR="001F1EBB" w:rsidRPr="00882D12">
        <w:rPr>
          <w:sz w:val="26"/>
          <w:szCs w:val="26"/>
        </w:rPr>
        <w:t xml:space="preserve"> </w:t>
      </w:r>
      <w:proofErr w:type="spellStart"/>
      <w:r w:rsidR="00CA1DF0" w:rsidRPr="00882D12">
        <w:rPr>
          <w:sz w:val="26"/>
          <w:szCs w:val="26"/>
        </w:rPr>
        <w:t>т.г</w:t>
      </w:r>
      <w:proofErr w:type="spellEnd"/>
      <w:r w:rsidR="00CA1DF0" w:rsidRPr="00882D12">
        <w:rPr>
          <w:sz w:val="26"/>
          <w:szCs w:val="26"/>
        </w:rPr>
        <w:t xml:space="preserve">. </w:t>
      </w:r>
      <w:r w:rsidR="005B5A17" w:rsidRPr="00882D12">
        <w:rPr>
          <w:sz w:val="26"/>
          <w:szCs w:val="26"/>
        </w:rPr>
        <w:t xml:space="preserve">учтены предложения Контрольно-счетной палаты по приведению </w:t>
      </w:r>
      <w:r w:rsidR="00F766CE" w:rsidRPr="00882D12">
        <w:rPr>
          <w:sz w:val="26"/>
          <w:szCs w:val="26"/>
        </w:rPr>
        <w:t xml:space="preserve">бюджетных ассигнований на исполнение судебных решений по </w:t>
      </w:r>
      <w:r w:rsidR="00F766CE" w:rsidRPr="00882D12">
        <w:rPr>
          <w:rFonts w:eastAsia="Calibri"/>
          <w:sz w:val="26"/>
          <w:szCs w:val="26"/>
        </w:rPr>
        <w:t>мероприятиям по строительству систем тепл</w:t>
      </w:r>
      <w:proofErr w:type="gramStart"/>
      <w:r w:rsidR="00F766CE" w:rsidRPr="00882D12">
        <w:rPr>
          <w:rFonts w:eastAsia="Calibri"/>
          <w:sz w:val="26"/>
          <w:szCs w:val="26"/>
        </w:rPr>
        <w:t>о-</w:t>
      </w:r>
      <w:proofErr w:type="gramEnd"/>
      <w:r w:rsidR="00F766CE" w:rsidRPr="00882D12">
        <w:rPr>
          <w:rFonts w:eastAsia="Calibri"/>
          <w:sz w:val="26"/>
          <w:szCs w:val="26"/>
        </w:rPr>
        <w:t>, газо-, водоснабжения и водоотведения муниципальной программы «Развитие градостроительства и инфраструктуры»</w:t>
      </w:r>
      <w:r w:rsidR="0074232E" w:rsidRPr="00882D12">
        <w:rPr>
          <w:sz w:val="26"/>
          <w:szCs w:val="26"/>
        </w:rPr>
        <w:t xml:space="preserve"> в соответствие с Указаниями о порядке применения бюджетной классификации Российской Федерации, утвержденными приказом Министерства финансов РФ от 01.07.2013 №65н.</w:t>
      </w:r>
    </w:p>
    <w:p w:rsidR="00404EFC" w:rsidRPr="00882D12" w:rsidRDefault="00333409" w:rsidP="007E18E9">
      <w:pPr>
        <w:spacing w:line="276" w:lineRule="auto"/>
        <w:ind w:firstLine="709"/>
        <w:jc w:val="both"/>
        <w:rPr>
          <w:sz w:val="26"/>
          <w:szCs w:val="26"/>
        </w:rPr>
      </w:pPr>
      <w:r w:rsidRPr="00882D12">
        <w:rPr>
          <w:sz w:val="26"/>
          <w:szCs w:val="26"/>
        </w:rPr>
        <w:t xml:space="preserve">По данным отчета об исполнении бюджета </w:t>
      </w:r>
      <w:r w:rsidR="008C354C" w:rsidRPr="00882D12">
        <w:rPr>
          <w:sz w:val="26"/>
          <w:szCs w:val="26"/>
        </w:rPr>
        <w:t xml:space="preserve">за </w:t>
      </w:r>
      <w:r w:rsidR="001F1EBB" w:rsidRPr="00882D12">
        <w:rPr>
          <w:sz w:val="26"/>
          <w:szCs w:val="26"/>
        </w:rPr>
        <w:t>перв</w:t>
      </w:r>
      <w:r w:rsidR="004E1334" w:rsidRPr="00882D12">
        <w:rPr>
          <w:sz w:val="26"/>
          <w:szCs w:val="26"/>
        </w:rPr>
        <w:t xml:space="preserve">ое полугодие </w:t>
      </w:r>
      <w:r w:rsidR="00EF25B5" w:rsidRPr="00882D12">
        <w:rPr>
          <w:sz w:val="26"/>
          <w:szCs w:val="26"/>
        </w:rPr>
        <w:t>201</w:t>
      </w:r>
      <w:r w:rsidR="001F1EBB" w:rsidRPr="00882D12">
        <w:rPr>
          <w:sz w:val="26"/>
          <w:szCs w:val="26"/>
        </w:rPr>
        <w:t>5</w:t>
      </w:r>
      <w:r w:rsidR="00EF25B5" w:rsidRPr="00882D12">
        <w:rPr>
          <w:sz w:val="26"/>
          <w:szCs w:val="26"/>
        </w:rPr>
        <w:t xml:space="preserve"> года</w:t>
      </w:r>
      <w:r w:rsidR="008C354C" w:rsidRPr="00882D12">
        <w:rPr>
          <w:sz w:val="26"/>
          <w:szCs w:val="26"/>
        </w:rPr>
        <w:t xml:space="preserve"> </w:t>
      </w:r>
      <w:r w:rsidRPr="00882D12">
        <w:rPr>
          <w:sz w:val="26"/>
          <w:szCs w:val="26"/>
        </w:rPr>
        <w:t xml:space="preserve">в бюджет города </w:t>
      </w:r>
      <w:r w:rsidR="008C354C" w:rsidRPr="00882D12">
        <w:rPr>
          <w:sz w:val="26"/>
          <w:szCs w:val="26"/>
        </w:rPr>
        <w:t xml:space="preserve">поступили </w:t>
      </w:r>
      <w:r w:rsidR="004E1334" w:rsidRPr="00882D12">
        <w:rPr>
          <w:b/>
          <w:i/>
          <w:sz w:val="26"/>
          <w:szCs w:val="26"/>
        </w:rPr>
        <w:t xml:space="preserve">доходы </w:t>
      </w:r>
      <w:r w:rsidR="004E1334" w:rsidRPr="00882D12">
        <w:rPr>
          <w:sz w:val="26"/>
          <w:szCs w:val="26"/>
        </w:rPr>
        <w:t xml:space="preserve">в сумме </w:t>
      </w:r>
      <w:r w:rsidR="004E1334" w:rsidRPr="00882D12">
        <w:rPr>
          <w:b/>
          <w:i/>
          <w:sz w:val="26"/>
          <w:szCs w:val="26"/>
        </w:rPr>
        <w:t xml:space="preserve">3475,3 </w:t>
      </w:r>
      <w:proofErr w:type="gramStart"/>
      <w:r w:rsidR="004E1334" w:rsidRPr="00882D12">
        <w:rPr>
          <w:sz w:val="26"/>
          <w:szCs w:val="26"/>
        </w:rPr>
        <w:t>млн</w:t>
      </w:r>
      <w:proofErr w:type="gramEnd"/>
      <w:r w:rsidR="004E1334" w:rsidRPr="00882D12">
        <w:rPr>
          <w:sz w:val="26"/>
          <w:szCs w:val="26"/>
        </w:rPr>
        <w:t xml:space="preserve"> рублей, или </w:t>
      </w:r>
      <w:r w:rsidR="004E1334" w:rsidRPr="00882D12">
        <w:rPr>
          <w:b/>
          <w:i/>
          <w:sz w:val="26"/>
          <w:szCs w:val="26"/>
        </w:rPr>
        <w:t>51,3%</w:t>
      </w:r>
      <w:r w:rsidR="004E1334" w:rsidRPr="00882D12">
        <w:rPr>
          <w:sz w:val="26"/>
          <w:szCs w:val="26"/>
        </w:rPr>
        <w:t xml:space="preserve"> от утвержденного бюджета на 2015 год (в редакции от 25.06.2015). </w:t>
      </w:r>
      <w:r w:rsidR="004E1334" w:rsidRPr="00882D12">
        <w:rPr>
          <w:b/>
          <w:i/>
          <w:sz w:val="26"/>
          <w:szCs w:val="26"/>
        </w:rPr>
        <w:t>Расходы</w:t>
      </w:r>
      <w:r w:rsidR="004E1334" w:rsidRPr="00882D12">
        <w:rPr>
          <w:b/>
          <w:sz w:val="26"/>
          <w:szCs w:val="26"/>
        </w:rPr>
        <w:t xml:space="preserve"> </w:t>
      </w:r>
      <w:r w:rsidR="004E1334" w:rsidRPr="00882D12">
        <w:rPr>
          <w:sz w:val="26"/>
          <w:szCs w:val="26"/>
        </w:rPr>
        <w:t xml:space="preserve">бюджета составили </w:t>
      </w:r>
      <w:r w:rsidR="004E1334" w:rsidRPr="00882D12">
        <w:rPr>
          <w:b/>
          <w:i/>
          <w:sz w:val="26"/>
          <w:szCs w:val="26"/>
        </w:rPr>
        <w:t>3817,1</w:t>
      </w:r>
      <w:r w:rsidR="004E1334" w:rsidRPr="00882D12">
        <w:rPr>
          <w:sz w:val="26"/>
          <w:szCs w:val="26"/>
        </w:rPr>
        <w:t xml:space="preserve"> </w:t>
      </w:r>
      <w:proofErr w:type="gramStart"/>
      <w:r w:rsidR="004E1334" w:rsidRPr="00882D12">
        <w:rPr>
          <w:sz w:val="26"/>
          <w:szCs w:val="26"/>
        </w:rPr>
        <w:t>млн</w:t>
      </w:r>
      <w:proofErr w:type="gramEnd"/>
      <w:r w:rsidR="004E1334" w:rsidRPr="00882D12">
        <w:rPr>
          <w:sz w:val="26"/>
          <w:szCs w:val="26"/>
        </w:rPr>
        <w:t xml:space="preserve"> рублей, или</w:t>
      </w:r>
      <w:r w:rsidR="004E1334" w:rsidRPr="00882D12">
        <w:rPr>
          <w:b/>
          <w:i/>
          <w:sz w:val="26"/>
          <w:szCs w:val="26"/>
        </w:rPr>
        <w:t xml:space="preserve"> 54,0%</w:t>
      </w:r>
      <w:r w:rsidR="004E1334" w:rsidRPr="00882D12">
        <w:rPr>
          <w:sz w:val="26"/>
          <w:szCs w:val="26"/>
        </w:rPr>
        <w:t xml:space="preserve"> к годовым назначениям. Бюджет исполнен с превышением расходов над доходами (дефицитом) в сумме </w:t>
      </w:r>
      <w:r w:rsidR="004E1334" w:rsidRPr="00882D12">
        <w:rPr>
          <w:b/>
          <w:i/>
          <w:sz w:val="26"/>
          <w:szCs w:val="26"/>
        </w:rPr>
        <w:t>341,8</w:t>
      </w:r>
      <w:r w:rsidR="004E1334" w:rsidRPr="00882D12">
        <w:rPr>
          <w:sz w:val="26"/>
          <w:szCs w:val="26"/>
        </w:rPr>
        <w:t xml:space="preserve"> </w:t>
      </w:r>
      <w:proofErr w:type="gramStart"/>
      <w:r w:rsidR="004E1334" w:rsidRPr="00882D12">
        <w:rPr>
          <w:sz w:val="26"/>
          <w:szCs w:val="26"/>
        </w:rPr>
        <w:t>млн</w:t>
      </w:r>
      <w:proofErr w:type="gramEnd"/>
      <w:r w:rsidR="004E1334" w:rsidRPr="00882D12">
        <w:rPr>
          <w:sz w:val="26"/>
          <w:szCs w:val="26"/>
        </w:rPr>
        <w:t xml:space="preserve"> рублей. </w:t>
      </w:r>
    </w:p>
    <w:p w:rsidR="00404EFC" w:rsidRPr="00882D12" w:rsidRDefault="00404EFC" w:rsidP="007E18E9">
      <w:pPr>
        <w:spacing w:line="276" w:lineRule="auto"/>
        <w:ind w:firstLine="709"/>
        <w:jc w:val="both"/>
        <w:rPr>
          <w:sz w:val="26"/>
          <w:szCs w:val="26"/>
        </w:rPr>
      </w:pPr>
      <w:r w:rsidRPr="00882D12">
        <w:rPr>
          <w:sz w:val="26"/>
          <w:szCs w:val="26"/>
        </w:rPr>
        <w:t>Исполнение основных характеристик бюджета города за перв</w:t>
      </w:r>
      <w:r w:rsidR="004E1334" w:rsidRPr="00882D12">
        <w:rPr>
          <w:sz w:val="26"/>
          <w:szCs w:val="26"/>
        </w:rPr>
        <w:t>ое полугодие</w:t>
      </w:r>
      <w:r w:rsidRPr="00882D12">
        <w:rPr>
          <w:sz w:val="26"/>
          <w:szCs w:val="26"/>
        </w:rPr>
        <w:t xml:space="preserve"> 2015 года в сравнении с аналогичным периодом 2014 года характеризуется следующими данными.</w:t>
      </w:r>
    </w:p>
    <w:p w:rsidR="004E1334" w:rsidRPr="00882D12" w:rsidRDefault="004E1334" w:rsidP="007E18E9">
      <w:pPr>
        <w:spacing w:line="276" w:lineRule="auto"/>
        <w:ind w:firstLine="709"/>
        <w:jc w:val="right"/>
        <w:rPr>
          <w:sz w:val="26"/>
          <w:szCs w:val="26"/>
        </w:rPr>
      </w:pPr>
      <w:r w:rsidRPr="00882D12">
        <w:rPr>
          <w:sz w:val="26"/>
          <w:szCs w:val="26"/>
        </w:rPr>
        <w:lastRenderedPageBreak/>
        <w:t>Таблица 1</w:t>
      </w:r>
    </w:p>
    <w:p w:rsidR="004E1334" w:rsidRPr="00882D12" w:rsidRDefault="004E1334" w:rsidP="007E18E9">
      <w:pPr>
        <w:spacing w:line="276" w:lineRule="auto"/>
        <w:ind w:firstLine="709"/>
        <w:jc w:val="right"/>
        <w:rPr>
          <w:sz w:val="26"/>
          <w:szCs w:val="26"/>
        </w:rPr>
      </w:pPr>
      <w:r w:rsidRPr="00882D12">
        <w:rPr>
          <w:sz w:val="26"/>
          <w:szCs w:val="26"/>
        </w:rPr>
        <w:t xml:space="preserve">(тыс. рублей)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276"/>
        <w:gridCol w:w="1166"/>
        <w:gridCol w:w="1637"/>
        <w:gridCol w:w="1166"/>
        <w:gridCol w:w="1418"/>
        <w:gridCol w:w="1559"/>
      </w:tblGrid>
      <w:tr w:rsidR="00882D12" w:rsidRPr="00882D12" w:rsidTr="007E1CBC">
        <w:tc>
          <w:tcPr>
            <w:tcW w:w="1809" w:type="dxa"/>
            <w:shd w:val="clear" w:color="auto" w:fill="auto"/>
          </w:tcPr>
          <w:p w:rsidR="004E1334" w:rsidRPr="00882D12" w:rsidRDefault="004E1334" w:rsidP="004E1334">
            <w:pPr>
              <w:jc w:val="center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276" w:type="dxa"/>
            <w:shd w:val="clear" w:color="auto" w:fill="auto"/>
          </w:tcPr>
          <w:p w:rsidR="004E1334" w:rsidRPr="00882D12" w:rsidRDefault="004E1334" w:rsidP="004E1334">
            <w:pPr>
              <w:jc w:val="center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Утверждено на 2015</w:t>
            </w:r>
            <w:r w:rsidR="007E1CBC" w:rsidRPr="00882D12">
              <w:rPr>
                <w:sz w:val="20"/>
                <w:szCs w:val="20"/>
              </w:rPr>
              <w:t xml:space="preserve"> </w:t>
            </w:r>
            <w:r w:rsidRPr="00882D12">
              <w:rPr>
                <w:sz w:val="20"/>
                <w:szCs w:val="20"/>
              </w:rPr>
              <w:t>год</w:t>
            </w:r>
          </w:p>
        </w:tc>
        <w:tc>
          <w:tcPr>
            <w:tcW w:w="1166" w:type="dxa"/>
            <w:shd w:val="clear" w:color="auto" w:fill="auto"/>
          </w:tcPr>
          <w:p w:rsidR="004E1334" w:rsidRPr="00882D12" w:rsidRDefault="004E1334" w:rsidP="004E1334">
            <w:pPr>
              <w:jc w:val="center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 xml:space="preserve">Исполнено за </w:t>
            </w:r>
            <w:r w:rsidRPr="00882D12">
              <w:rPr>
                <w:sz w:val="20"/>
                <w:szCs w:val="20"/>
                <w:lang w:val="en-US"/>
              </w:rPr>
              <w:t>I</w:t>
            </w:r>
            <w:r w:rsidRPr="00882D12">
              <w:rPr>
                <w:sz w:val="20"/>
                <w:szCs w:val="20"/>
              </w:rPr>
              <w:t xml:space="preserve"> полугодие</w:t>
            </w:r>
          </w:p>
          <w:p w:rsidR="004E1334" w:rsidRPr="00882D12" w:rsidRDefault="004E1334" w:rsidP="004E1334">
            <w:pPr>
              <w:jc w:val="center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2015 года</w:t>
            </w:r>
          </w:p>
        </w:tc>
        <w:tc>
          <w:tcPr>
            <w:tcW w:w="1637" w:type="dxa"/>
            <w:shd w:val="clear" w:color="auto" w:fill="auto"/>
          </w:tcPr>
          <w:p w:rsidR="004E1334" w:rsidRPr="00882D12" w:rsidRDefault="004E1334" w:rsidP="004E1334">
            <w:pPr>
              <w:jc w:val="center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 xml:space="preserve">Процент исполнения бюджетных назначений за </w:t>
            </w:r>
            <w:r w:rsidRPr="00882D12">
              <w:rPr>
                <w:sz w:val="20"/>
                <w:szCs w:val="20"/>
                <w:lang w:val="en-US"/>
              </w:rPr>
              <w:t>I</w:t>
            </w:r>
            <w:r w:rsidRPr="00882D12">
              <w:rPr>
                <w:sz w:val="20"/>
                <w:szCs w:val="20"/>
              </w:rPr>
              <w:t xml:space="preserve"> полугодие 2015 года</w:t>
            </w:r>
          </w:p>
        </w:tc>
        <w:tc>
          <w:tcPr>
            <w:tcW w:w="1166" w:type="dxa"/>
            <w:shd w:val="clear" w:color="auto" w:fill="auto"/>
          </w:tcPr>
          <w:p w:rsidR="004E1334" w:rsidRPr="00882D12" w:rsidRDefault="004E1334" w:rsidP="004E1334">
            <w:pPr>
              <w:jc w:val="center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 xml:space="preserve">Исполнено за </w:t>
            </w:r>
            <w:r w:rsidRPr="00882D12">
              <w:rPr>
                <w:sz w:val="20"/>
                <w:szCs w:val="20"/>
                <w:lang w:val="en-US"/>
              </w:rPr>
              <w:t>I</w:t>
            </w:r>
            <w:r w:rsidRPr="00882D12">
              <w:rPr>
                <w:sz w:val="20"/>
                <w:szCs w:val="20"/>
              </w:rPr>
              <w:t xml:space="preserve"> полугодие 2014 года</w:t>
            </w:r>
          </w:p>
        </w:tc>
        <w:tc>
          <w:tcPr>
            <w:tcW w:w="1418" w:type="dxa"/>
            <w:shd w:val="clear" w:color="auto" w:fill="auto"/>
          </w:tcPr>
          <w:p w:rsidR="004E1334" w:rsidRPr="00882D12" w:rsidRDefault="004E1334" w:rsidP="004E1334">
            <w:pPr>
              <w:jc w:val="center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 xml:space="preserve">Процент исполнения бюджетных назначений за </w:t>
            </w:r>
            <w:r w:rsidRPr="00882D12">
              <w:rPr>
                <w:sz w:val="20"/>
                <w:szCs w:val="20"/>
                <w:lang w:val="en-US"/>
              </w:rPr>
              <w:t>I</w:t>
            </w:r>
            <w:r w:rsidRPr="00882D12">
              <w:rPr>
                <w:sz w:val="20"/>
                <w:szCs w:val="20"/>
              </w:rPr>
              <w:t xml:space="preserve"> полугодие 2014 года </w:t>
            </w:r>
          </w:p>
        </w:tc>
        <w:tc>
          <w:tcPr>
            <w:tcW w:w="1559" w:type="dxa"/>
            <w:shd w:val="clear" w:color="auto" w:fill="auto"/>
          </w:tcPr>
          <w:p w:rsidR="004E1334" w:rsidRPr="00882D12" w:rsidRDefault="004E1334" w:rsidP="007E1CBC">
            <w:pPr>
              <w:jc w:val="center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 xml:space="preserve">Процент роста (снижения)  </w:t>
            </w:r>
            <w:r w:rsidRPr="00882D12">
              <w:rPr>
                <w:sz w:val="20"/>
                <w:szCs w:val="20"/>
                <w:lang w:val="en-US"/>
              </w:rPr>
              <w:t>I</w:t>
            </w:r>
            <w:r w:rsidRPr="00882D12">
              <w:rPr>
                <w:sz w:val="20"/>
                <w:szCs w:val="20"/>
              </w:rPr>
              <w:t xml:space="preserve"> полугодие 2015 года к </w:t>
            </w:r>
            <w:r w:rsidRPr="00882D12">
              <w:rPr>
                <w:sz w:val="20"/>
                <w:szCs w:val="20"/>
                <w:lang w:val="en-US"/>
              </w:rPr>
              <w:t>I</w:t>
            </w:r>
            <w:r w:rsidRPr="00882D12">
              <w:rPr>
                <w:sz w:val="20"/>
                <w:szCs w:val="20"/>
              </w:rPr>
              <w:t xml:space="preserve"> </w:t>
            </w:r>
            <w:r w:rsidR="007E1CBC" w:rsidRPr="00882D12">
              <w:rPr>
                <w:sz w:val="20"/>
                <w:szCs w:val="20"/>
              </w:rPr>
              <w:t>п</w:t>
            </w:r>
            <w:r w:rsidRPr="00882D12">
              <w:rPr>
                <w:sz w:val="20"/>
                <w:szCs w:val="20"/>
              </w:rPr>
              <w:t>олугодию 2014 года</w:t>
            </w:r>
          </w:p>
        </w:tc>
      </w:tr>
      <w:tr w:rsidR="00882D12" w:rsidRPr="00882D12" w:rsidTr="007E1CBC">
        <w:tc>
          <w:tcPr>
            <w:tcW w:w="1809" w:type="dxa"/>
            <w:shd w:val="clear" w:color="auto" w:fill="auto"/>
          </w:tcPr>
          <w:p w:rsidR="004E1334" w:rsidRPr="00882D12" w:rsidRDefault="004E1334" w:rsidP="004E1334">
            <w:pPr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 xml:space="preserve">Налоговые доходы </w:t>
            </w:r>
          </w:p>
        </w:tc>
        <w:tc>
          <w:tcPr>
            <w:tcW w:w="1276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2 246 351,2</w:t>
            </w:r>
          </w:p>
        </w:tc>
        <w:tc>
          <w:tcPr>
            <w:tcW w:w="1166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835 443,2</w:t>
            </w:r>
          </w:p>
        </w:tc>
        <w:tc>
          <w:tcPr>
            <w:tcW w:w="1637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37,2</w:t>
            </w:r>
          </w:p>
        </w:tc>
        <w:tc>
          <w:tcPr>
            <w:tcW w:w="1166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836 189,7</w:t>
            </w:r>
          </w:p>
        </w:tc>
        <w:tc>
          <w:tcPr>
            <w:tcW w:w="1418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44,4</w:t>
            </w:r>
          </w:p>
        </w:tc>
        <w:tc>
          <w:tcPr>
            <w:tcW w:w="1559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99,9</w:t>
            </w:r>
          </w:p>
        </w:tc>
      </w:tr>
      <w:tr w:rsidR="00882D12" w:rsidRPr="00882D12" w:rsidTr="007E1CBC">
        <w:tc>
          <w:tcPr>
            <w:tcW w:w="1809" w:type="dxa"/>
            <w:shd w:val="clear" w:color="auto" w:fill="auto"/>
          </w:tcPr>
          <w:p w:rsidR="004E1334" w:rsidRPr="00882D12" w:rsidRDefault="004E1334" w:rsidP="004E1334">
            <w:pPr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Неналоговые доходы</w:t>
            </w:r>
          </w:p>
        </w:tc>
        <w:tc>
          <w:tcPr>
            <w:tcW w:w="1276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</w:p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923 473,0</w:t>
            </w:r>
          </w:p>
        </w:tc>
        <w:tc>
          <w:tcPr>
            <w:tcW w:w="1166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</w:p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539 185,9</w:t>
            </w:r>
          </w:p>
        </w:tc>
        <w:tc>
          <w:tcPr>
            <w:tcW w:w="1637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</w:p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58,4</w:t>
            </w:r>
          </w:p>
        </w:tc>
        <w:tc>
          <w:tcPr>
            <w:tcW w:w="1166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</w:p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363 873,3</w:t>
            </w:r>
          </w:p>
        </w:tc>
        <w:tc>
          <w:tcPr>
            <w:tcW w:w="1418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</w:p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46,8</w:t>
            </w:r>
          </w:p>
        </w:tc>
        <w:tc>
          <w:tcPr>
            <w:tcW w:w="1559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</w:p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148,2</w:t>
            </w:r>
          </w:p>
        </w:tc>
      </w:tr>
      <w:tr w:rsidR="00882D12" w:rsidRPr="00882D12" w:rsidTr="007E1CBC">
        <w:tc>
          <w:tcPr>
            <w:tcW w:w="1809" w:type="dxa"/>
            <w:shd w:val="clear" w:color="auto" w:fill="auto"/>
          </w:tcPr>
          <w:p w:rsidR="004E1334" w:rsidRPr="00882D12" w:rsidRDefault="004E1334" w:rsidP="004E1334">
            <w:pPr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3 169 824,2</w:t>
            </w:r>
          </w:p>
        </w:tc>
        <w:tc>
          <w:tcPr>
            <w:tcW w:w="1166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1 374 629,1</w:t>
            </w:r>
          </w:p>
        </w:tc>
        <w:tc>
          <w:tcPr>
            <w:tcW w:w="1637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43,4</w:t>
            </w:r>
          </w:p>
        </w:tc>
        <w:tc>
          <w:tcPr>
            <w:tcW w:w="1166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1 200 063,0</w:t>
            </w:r>
          </w:p>
        </w:tc>
        <w:tc>
          <w:tcPr>
            <w:tcW w:w="1418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45,1</w:t>
            </w:r>
          </w:p>
        </w:tc>
        <w:tc>
          <w:tcPr>
            <w:tcW w:w="1559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114,5</w:t>
            </w:r>
          </w:p>
        </w:tc>
      </w:tr>
      <w:tr w:rsidR="00882D12" w:rsidRPr="00882D12" w:rsidTr="007E1CBC">
        <w:tc>
          <w:tcPr>
            <w:tcW w:w="1809" w:type="dxa"/>
            <w:shd w:val="clear" w:color="auto" w:fill="auto"/>
          </w:tcPr>
          <w:p w:rsidR="004E1334" w:rsidRPr="00882D12" w:rsidRDefault="004E1334" w:rsidP="004E1334">
            <w:pPr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</w:p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3 604 279,6</w:t>
            </w:r>
          </w:p>
        </w:tc>
        <w:tc>
          <w:tcPr>
            <w:tcW w:w="1166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</w:p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2 100 651,6</w:t>
            </w:r>
          </w:p>
        </w:tc>
        <w:tc>
          <w:tcPr>
            <w:tcW w:w="1637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</w:p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58,3</w:t>
            </w:r>
          </w:p>
        </w:tc>
        <w:tc>
          <w:tcPr>
            <w:tcW w:w="1166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</w:p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1 963 648,1</w:t>
            </w:r>
          </w:p>
        </w:tc>
        <w:tc>
          <w:tcPr>
            <w:tcW w:w="1418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</w:p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48,9</w:t>
            </w:r>
          </w:p>
        </w:tc>
        <w:tc>
          <w:tcPr>
            <w:tcW w:w="1559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</w:p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107,0</w:t>
            </w:r>
          </w:p>
        </w:tc>
      </w:tr>
      <w:tr w:rsidR="00882D12" w:rsidRPr="00882D12" w:rsidTr="007E1CBC">
        <w:tc>
          <w:tcPr>
            <w:tcW w:w="1809" w:type="dxa"/>
            <w:shd w:val="clear" w:color="auto" w:fill="auto"/>
          </w:tcPr>
          <w:p w:rsidR="004E1334" w:rsidRPr="00882D12" w:rsidRDefault="004E1334" w:rsidP="004E1334">
            <w:pPr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Итого доходов</w:t>
            </w:r>
          </w:p>
        </w:tc>
        <w:tc>
          <w:tcPr>
            <w:tcW w:w="1276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6 774 103,8</w:t>
            </w:r>
          </w:p>
        </w:tc>
        <w:tc>
          <w:tcPr>
            <w:tcW w:w="1166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3 475 280,7</w:t>
            </w:r>
          </w:p>
        </w:tc>
        <w:tc>
          <w:tcPr>
            <w:tcW w:w="1637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51,3</w:t>
            </w:r>
          </w:p>
        </w:tc>
        <w:tc>
          <w:tcPr>
            <w:tcW w:w="1166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3 163 711,1</w:t>
            </w:r>
          </w:p>
        </w:tc>
        <w:tc>
          <w:tcPr>
            <w:tcW w:w="1418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47,4</w:t>
            </w:r>
          </w:p>
        </w:tc>
        <w:tc>
          <w:tcPr>
            <w:tcW w:w="1559" w:type="dxa"/>
            <w:shd w:val="clear" w:color="auto" w:fill="auto"/>
          </w:tcPr>
          <w:p w:rsidR="004E1334" w:rsidRPr="00882D12" w:rsidRDefault="004E1334" w:rsidP="007E1CBC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 xml:space="preserve">           109,8</w:t>
            </w:r>
          </w:p>
        </w:tc>
      </w:tr>
      <w:tr w:rsidR="00882D12" w:rsidRPr="00882D12" w:rsidTr="007E1CBC">
        <w:tc>
          <w:tcPr>
            <w:tcW w:w="1809" w:type="dxa"/>
            <w:shd w:val="clear" w:color="auto" w:fill="auto"/>
          </w:tcPr>
          <w:p w:rsidR="004E1334" w:rsidRPr="00882D12" w:rsidRDefault="004E1334" w:rsidP="004E1334">
            <w:pPr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Итого расходов</w:t>
            </w:r>
          </w:p>
        </w:tc>
        <w:tc>
          <w:tcPr>
            <w:tcW w:w="1276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7 067 548,3</w:t>
            </w:r>
          </w:p>
        </w:tc>
        <w:tc>
          <w:tcPr>
            <w:tcW w:w="1166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3 817 090,0</w:t>
            </w:r>
          </w:p>
        </w:tc>
        <w:tc>
          <w:tcPr>
            <w:tcW w:w="1637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54,0</w:t>
            </w:r>
          </w:p>
        </w:tc>
        <w:tc>
          <w:tcPr>
            <w:tcW w:w="1166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3 697 388,3</w:t>
            </w:r>
          </w:p>
        </w:tc>
        <w:tc>
          <w:tcPr>
            <w:tcW w:w="1418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50,3</w:t>
            </w:r>
          </w:p>
        </w:tc>
        <w:tc>
          <w:tcPr>
            <w:tcW w:w="1559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103,2</w:t>
            </w:r>
          </w:p>
        </w:tc>
      </w:tr>
      <w:tr w:rsidR="00882D12" w:rsidRPr="00882D12" w:rsidTr="007E1CBC">
        <w:tc>
          <w:tcPr>
            <w:tcW w:w="1809" w:type="dxa"/>
            <w:shd w:val="clear" w:color="auto" w:fill="auto"/>
          </w:tcPr>
          <w:p w:rsidR="004E1334" w:rsidRPr="00882D12" w:rsidRDefault="004E1334" w:rsidP="004E1334">
            <w:pPr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 xml:space="preserve">Дефицит  </w:t>
            </w:r>
          </w:p>
        </w:tc>
        <w:tc>
          <w:tcPr>
            <w:tcW w:w="1276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293 444,5</w:t>
            </w:r>
          </w:p>
        </w:tc>
        <w:tc>
          <w:tcPr>
            <w:tcW w:w="1166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341 809,3</w:t>
            </w:r>
          </w:p>
        </w:tc>
        <w:tc>
          <w:tcPr>
            <w:tcW w:w="1637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116,5</w:t>
            </w:r>
          </w:p>
        </w:tc>
        <w:tc>
          <w:tcPr>
            <w:tcW w:w="1166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533 677,2</w:t>
            </w:r>
          </w:p>
        </w:tc>
        <w:tc>
          <w:tcPr>
            <w:tcW w:w="1418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78,3</w:t>
            </w:r>
          </w:p>
        </w:tc>
        <w:tc>
          <w:tcPr>
            <w:tcW w:w="1559" w:type="dxa"/>
            <w:shd w:val="clear" w:color="auto" w:fill="auto"/>
          </w:tcPr>
          <w:p w:rsidR="004E1334" w:rsidRPr="00882D12" w:rsidRDefault="004E1334" w:rsidP="004E1334">
            <w:pPr>
              <w:jc w:val="right"/>
              <w:rPr>
                <w:sz w:val="20"/>
                <w:szCs w:val="20"/>
              </w:rPr>
            </w:pPr>
            <w:r w:rsidRPr="00882D12">
              <w:rPr>
                <w:sz w:val="20"/>
                <w:szCs w:val="20"/>
              </w:rPr>
              <w:t>64,0</w:t>
            </w:r>
          </w:p>
        </w:tc>
      </w:tr>
    </w:tbl>
    <w:p w:rsidR="004E1334" w:rsidRPr="00882D12" w:rsidRDefault="004E1334" w:rsidP="00882D12">
      <w:pPr>
        <w:spacing w:line="276" w:lineRule="auto"/>
        <w:ind w:firstLine="709"/>
        <w:jc w:val="both"/>
        <w:rPr>
          <w:sz w:val="26"/>
          <w:szCs w:val="26"/>
        </w:rPr>
      </w:pPr>
    </w:p>
    <w:p w:rsidR="007E1CBC" w:rsidRPr="00882D12" w:rsidRDefault="007E1CBC" w:rsidP="00882D12">
      <w:pPr>
        <w:spacing w:line="276" w:lineRule="auto"/>
        <w:ind w:firstLine="709"/>
        <w:jc w:val="both"/>
        <w:rPr>
          <w:sz w:val="26"/>
          <w:szCs w:val="26"/>
        </w:rPr>
      </w:pPr>
      <w:r w:rsidRPr="00882D12">
        <w:rPr>
          <w:b/>
          <w:i/>
          <w:sz w:val="26"/>
          <w:szCs w:val="26"/>
        </w:rPr>
        <w:t xml:space="preserve">По налоговым и неналоговым доходам </w:t>
      </w:r>
      <w:r w:rsidRPr="00882D12">
        <w:rPr>
          <w:sz w:val="26"/>
          <w:szCs w:val="26"/>
        </w:rPr>
        <w:t>бюджет города</w:t>
      </w:r>
      <w:r w:rsidRPr="00882D12">
        <w:rPr>
          <w:b/>
          <w:i/>
          <w:sz w:val="26"/>
          <w:szCs w:val="26"/>
        </w:rPr>
        <w:t xml:space="preserve"> </w:t>
      </w:r>
      <w:r w:rsidRPr="00882D12">
        <w:rPr>
          <w:sz w:val="26"/>
          <w:szCs w:val="26"/>
        </w:rPr>
        <w:t>исполнен</w:t>
      </w:r>
      <w:r w:rsidRPr="00882D12">
        <w:rPr>
          <w:b/>
          <w:i/>
          <w:sz w:val="26"/>
          <w:szCs w:val="26"/>
        </w:rPr>
        <w:t xml:space="preserve"> </w:t>
      </w:r>
      <w:r w:rsidRPr="00882D12">
        <w:rPr>
          <w:sz w:val="26"/>
          <w:szCs w:val="26"/>
        </w:rPr>
        <w:t xml:space="preserve">в сумме </w:t>
      </w:r>
      <w:r w:rsidRPr="00882D12">
        <w:rPr>
          <w:b/>
          <w:i/>
          <w:sz w:val="26"/>
          <w:szCs w:val="26"/>
        </w:rPr>
        <w:t>1374,6</w:t>
      </w:r>
      <w:r w:rsidRPr="00882D12">
        <w:rPr>
          <w:sz w:val="26"/>
          <w:szCs w:val="26"/>
        </w:rPr>
        <w:t xml:space="preserve"> </w:t>
      </w:r>
      <w:proofErr w:type="gramStart"/>
      <w:r w:rsidRPr="00882D12">
        <w:rPr>
          <w:sz w:val="26"/>
          <w:szCs w:val="26"/>
        </w:rPr>
        <w:t>млн</w:t>
      </w:r>
      <w:proofErr w:type="gramEnd"/>
      <w:r w:rsidRPr="00882D12">
        <w:rPr>
          <w:sz w:val="26"/>
          <w:szCs w:val="26"/>
        </w:rPr>
        <w:t xml:space="preserve"> рублей (</w:t>
      </w:r>
      <w:r w:rsidRPr="00882D12">
        <w:rPr>
          <w:b/>
          <w:i/>
          <w:sz w:val="26"/>
          <w:szCs w:val="26"/>
        </w:rPr>
        <w:t>43,4</w:t>
      </w:r>
      <w:r w:rsidRPr="00882D12">
        <w:rPr>
          <w:sz w:val="26"/>
          <w:szCs w:val="26"/>
        </w:rPr>
        <w:t xml:space="preserve">% от утвержденных бюджетных назначений). В сравнении с аналогичным периодом предыдущего года их поступление увеличилось на 174,6 </w:t>
      </w:r>
      <w:proofErr w:type="gramStart"/>
      <w:r w:rsidRPr="00882D12">
        <w:rPr>
          <w:sz w:val="26"/>
          <w:szCs w:val="26"/>
        </w:rPr>
        <w:t>млн</w:t>
      </w:r>
      <w:proofErr w:type="gramEnd"/>
      <w:r w:rsidRPr="00882D12">
        <w:rPr>
          <w:sz w:val="26"/>
          <w:szCs w:val="26"/>
        </w:rPr>
        <w:t xml:space="preserve"> рублей, или 14,5 процента. Удельный вес в доходах бюджета города налоговых и неналоговых доходов составил 39,6%, увеличился в сравнении с первым полугодием 2014 года на 1,7 процентных пункта.</w:t>
      </w:r>
    </w:p>
    <w:p w:rsidR="007E1CBC" w:rsidRPr="00882D12" w:rsidRDefault="007E1CBC" w:rsidP="00882D12">
      <w:pPr>
        <w:spacing w:line="276" w:lineRule="auto"/>
        <w:ind w:firstLine="709"/>
        <w:jc w:val="both"/>
        <w:rPr>
          <w:sz w:val="26"/>
          <w:szCs w:val="26"/>
        </w:rPr>
      </w:pPr>
      <w:r w:rsidRPr="00882D12">
        <w:rPr>
          <w:sz w:val="26"/>
          <w:szCs w:val="26"/>
        </w:rPr>
        <w:t xml:space="preserve">В сравнении с аналогичным периодом 2014 года наблюдается значительное сокращение объемов поступлений земельного налога на 95,4 </w:t>
      </w:r>
      <w:proofErr w:type="gramStart"/>
      <w:r w:rsidRPr="00882D12">
        <w:rPr>
          <w:sz w:val="26"/>
          <w:szCs w:val="26"/>
        </w:rPr>
        <w:t>млн</w:t>
      </w:r>
      <w:proofErr w:type="gramEnd"/>
      <w:r w:rsidRPr="00882D12">
        <w:rPr>
          <w:sz w:val="26"/>
          <w:szCs w:val="26"/>
        </w:rPr>
        <w:t xml:space="preserve"> рублей (на 33,1%); арендной платы за земельные участки, государственная собственность на которые не разграничена, на 49,6 млн рублей (на 53,9%); арендной платы за муниципальное имущество на 5,7 млн рублей (на 14,4%); платежей при пользовании природными ресурсами на 0,3 </w:t>
      </w:r>
      <w:proofErr w:type="gramStart"/>
      <w:r w:rsidRPr="00882D12">
        <w:rPr>
          <w:sz w:val="26"/>
          <w:szCs w:val="26"/>
        </w:rPr>
        <w:t>млн</w:t>
      </w:r>
      <w:proofErr w:type="gramEnd"/>
      <w:r w:rsidRPr="00882D12">
        <w:rPr>
          <w:sz w:val="26"/>
          <w:szCs w:val="26"/>
        </w:rPr>
        <w:t xml:space="preserve"> рублей (на 10,0%); доходов от перечисления части прибыли, остающейся после уплаты налогов и иных обязательных платежей муниципальных унитарных предприятий, на 0,3 млн рублей (в 2,0 раза); арендной платы за земельные участки, находящиеся в собственности городских округов, на 0,1 млн рублей (на 1,7%).</w:t>
      </w:r>
    </w:p>
    <w:p w:rsidR="007E1CBC" w:rsidRPr="00882D12" w:rsidRDefault="007E1CBC" w:rsidP="00882D12">
      <w:pPr>
        <w:spacing w:line="276" w:lineRule="auto"/>
        <w:ind w:firstLine="709"/>
        <w:jc w:val="both"/>
        <w:rPr>
          <w:sz w:val="26"/>
          <w:szCs w:val="26"/>
        </w:rPr>
      </w:pPr>
      <w:r w:rsidRPr="00882D12">
        <w:rPr>
          <w:sz w:val="26"/>
          <w:szCs w:val="26"/>
        </w:rPr>
        <w:t xml:space="preserve">Со значительным отставанием идет исполнение годовых назначений по налогу на доходы физических лиц (поступило 429,0 </w:t>
      </w:r>
      <w:proofErr w:type="gramStart"/>
      <w:r w:rsidRPr="00882D12">
        <w:rPr>
          <w:sz w:val="26"/>
          <w:szCs w:val="26"/>
        </w:rPr>
        <w:t>млн</w:t>
      </w:r>
      <w:proofErr w:type="gramEnd"/>
      <w:r w:rsidRPr="00882D12">
        <w:rPr>
          <w:sz w:val="26"/>
          <w:szCs w:val="26"/>
        </w:rPr>
        <w:t xml:space="preserve"> рублей, или 38,6% годовых назначений), арендной плате за земельные участки, государственная собственность на которые не разграничена (поступило 42,5 млн рублей, или 28,7% годовых назначений), платежам при пользовании природными ресурсами (поступило 2,6 млн рублей, или 37,3% годовых назначений). Годовые назначения по местным налогам исполнены на 28,8% (поступило 217,1 </w:t>
      </w:r>
      <w:proofErr w:type="gramStart"/>
      <w:r w:rsidRPr="00882D12">
        <w:rPr>
          <w:sz w:val="26"/>
          <w:szCs w:val="26"/>
        </w:rPr>
        <w:t>млн</w:t>
      </w:r>
      <w:proofErr w:type="gramEnd"/>
      <w:r w:rsidRPr="00882D12">
        <w:rPr>
          <w:sz w:val="26"/>
          <w:szCs w:val="26"/>
        </w:rPr>
        <w:t xml:space="preserve"> рублей), что обусловлено в том числе сроком оплаты 01.10.2015. Так, по итогам 1 полугодия </w:t>
      </w:r>
      <w:proofErr w:type="spellStart"/>
      <w:r w:rsidRPr="00882D12">
        <w:rPr>
          <w:sz w:val="26"/>
          <w:szCs w:val="26"/>
        </w:rPr>
        <w:t>т.г</w:t>
      </w:r>
      <w:proofErr w:type="spellEnd"/>
      <w:r w:rsidRPr="00882D12">
        <w:rPr>
          <w:sz w:val="26"/>
          <w:szCs w:val="26"/>
        </w:rPr>
        <w:t xml:space="preserve">. поступило налога на имущество физических лиц 24,2 </w:t>
      </w:r>
      <w:proofErr w:type="gramStart"/>
      <w:r w:rsidRPr="00882D12">
        <w:rPr>
          <w:sz w:val="26"/>
          <w:szCs w:val="26"/>
        </w:rPr>
        <w:t>млн</w:t>
      </w:r>
      <w:proofErr w:type="gramEnd"/>
      <w:r w:rsidRPr="00882D12">
        <w:rPr>
          <w:sz w:val="26"/>
          <w:szCs w:val="26"/>
        </w:rPr>
        <w:t xml:space="preserve"> рублей (10,3% годовых назначений), земельного налога </w:t>
      </w:r>
      <w:r w:rsidR="005057BE" w:rsidRPr="00882D12">
        <w:rPr>
          <w:sz w:val="26"/>
          <w:szCs w:val="26"/>
        </w:rPr>
        <w:t>–</w:t>
      </w:r>
      <w:r w:rsidRPr="00882D12">
        <w:rPr>
          <w:sz w:val="26"/>
          <w:szCs w:val="26"/>
        </w:rPr>
        <w:t xml:space="preserve"> 192,9 млн рублей (37,2% годовых назначений). </w:t>
      </w:r>
    </w:p>
    <w:p w:rsidR="007E1CBC" w:rsidRPr="00882D12" w:rsidRDefault="007E1CBC" w:rsidP="00882D12">
      <w:pPr>
        <w:spacing w:line="276" w:lineRule="auto"/>
        <w:ind w:firstLine="709"/>
        <w:jc w:val="both"/>
        <w:rPr>
          <w:sz w:val="26"/>
          <w:szCs w:val="26"/>
        </w:rPr>
      </w:pPr>
      <w:r w:rsidRPr="00882D12">
        <w:rPr>
          <w:sz w:val="26"/>
          <w:szCs w:val="26"/>
        </w:rPr>
        <w:t xml:space="preserve">Следует отметить, что по итогам </w:t>
      </w:r>
      <w:r w:rsidR="004A6D52" w:rsidRPr="00882D12">
        <w:rPr>
          <w:sz w:val="26"/>
          <w:szCs w:val="26"/>
        </w:rPr>
        <w:t>первого</w:t>
      </w:r>
      <w:r w:rsidRPr="00882D12">
        <w:rPr>
          <w:sz w:val="26"/>
          <w:szCs w:val="26"/>
        </w:rPr>
        <w:t xml:space="preserve"> полугодия перевыполнены плановые годовые назначения по 4 доходным источникам: по доходам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округам, на 10,1% </w:t>
      </w:r>
      <w:r w:rsidRPr="00882D12">
        <w:rPr>
          <w:sz w:val="26"/>
          <w:szCs w:val="26"/>
        </w:rPr>
        <w:lastRenderedPageBreak/>
        <w:t xml:space="preserve">(поступило 2,2 </w:t>
      </w:r>
      <w:proofErr w:type="gramStart"/>
      <w:r w:rsidRPr="00882D12">
        <w:rPr>
          <w:sz w:val="26"/>
          <w:szCs w:val="26"/>
        </w:rPr>
        <w:t>млн</w:t>
      </w:r>
      <w:proofErr w:type="gramEnd"/>
      <w:r w:rsidRPr="00882D12">
        <w:rPr>
          <w:sz w:val="26"/>
          <w:szCs w:val="26"/>
        </w:rPr>
        <w:t xml:space="preserve"> рублей при плане 2,0 млн рублей), по прочим неналоговым доходам в 3,7 раза (поступило 3,2 млн рублей при плане 0,9 </w:t>
      </w:r>
      <w:proofErr w:type="gramStart"/>
      <w:r w:rsidRPr="00882D12">
        <w:rPr>
          <w:sz w:val="26"/>
          <w:szCs w:val="26"/>
        </w:rPr>
        <w:t>млн</w:t>
      </w:r>
      <w:proofErr w:type="gramEnd"/>
      <w:r w:rsidRPr="00882D12">
        <w:rPr>
          <w:sz w:val="26"/>
          <w:szCs w:val="26"/>
        </w:rPr>
        <w:t xml:space="preserve"> рублей), по доходам от оказания платных услуг и компенсации затрат государства в 1,7 раза (поступило 5,3 млн рублей при плане 3,1 млн рублей), по доходам от продажи земельных участков, находящихся в собственности городских округов, на 0,6% (поступило 109,2 млн рублей при плане 108,6 млн рублей), что свидетельствует о недостатках их планирования.</w:t>
      </w:r>
    </w:p>
    <w:p w:rsidR="007E1CBC" w:rsidRPr="00882D12" w:rsidRDefault="007E1CBC" w:rsidP="00882D12">
      <w:pPr>
        <w:spacing w:line="276" w:lineRule="auto"/>
        <w:ind w:firstLine="709"/>
        <w:jc w:val="both"/>
        <w:rPr>
          <w:sz w:val="26"/>
          <w:szCs w:val="26"/>
        </w:rPr>
      </w:pPr>
      <w:r w:rsidRPr="00882D12">
        <w:rPr>
          <w:sz w:val="26"/>
          <w:szCs w:val="26"/>
        </w:rPr>
        <w:t xml:space="preserve">Соответственно уменьшился удельный вес </w:t>
      </w:r>
      <w:r w:rsidRPr="00882D12">
        <w:rPr>
          <w:b/>
          <w:i/>
          <w:sz w:val="26"/>
          <w:szCs w:val="26"/>
        </w:rPr>
        <w:t>безвозмездных поступлений</w:t>
      </w:r>
      <w:r w:rsidRPr="00882D12">
        <w:rPr>
          <w:sz w:val="26"/>
          <w:szCs w:val="26"/>
        </w:rPr>
        <w:t xml:space="preserve"> в доходах бюджета города с 62,1% в </w:t>
      </w:r>
      <w:r w:rsidR="004A6D52" w:rsidRPr="00882D12">
        <w:rPr>
          <w:sz w:val="26"/>
          <w:szCs w:val="26"/>
        </w:rPr>
        <w:t>первом</w:t>
      </w:r>
      <w:r w:rsidRPr="00882D12">
        <w:rPr>
          <w:sz w:val="26"/>
          <w:szCs w:val="26"/>
        </w:rPr>
        <w:t xml:space="preserve"> полугодии 2014 года до 60,4% в отчетном периоде. За </w:t>
      </w:r>
      <w:r w:rsidR="00A46569" w:rsidRPr="00882D12">
        <w:rPr>
          <w:sz w:val="26"/>
          <w:szCs w:val="26"/>
        </w:rPr>
        <w:t xml:space="preserve">первое </w:t>
      </w:r>
      <w:r w:rsidRPr="00882D12">
        <w:rPr>
          <w:sz w:val="26"/>
          <w:szCs w:val="26"/>
        </w:rPr>
        <w:t xml:space="preserve">полугодие 2015 года поступило безвозмездных поступлений 2100,7 </w:t>
      </w:r>
      <w:proofErr w:type="gramStart"/>
      <w:r w:rsidRPr="00882D12">
        <w:rPr>
          <w:sz w:val="26"/>
          <w:szCs w:val="26"/>
        </w:rPr>
        <w:t>млн</w:t>
      </w:r>
      <w:proofErr w:type="gramEnd"/>
      <w:r w:rsidRPr="00882D12">
        <w:rPr>
          <w:sz w:val="26"/>
          <w:szCs w:val="26"/>
        </w:rPr>
        <w:t xml:space="preserve"> рублей, или 58,3% к годовым бюджетным назначениям. В сравнении с аналогичным периодом 2014 года объем безвозмездных поступлений увеличился на 137,0 </w:t>
      </w:r>
      <w:proofErr w:type="gramStart"/>
      <w:r w:rsidRPr="00882D12">
        <w:rPr>
          <w:sz w:val="26"/>
          <w:szCs w:val="26"/>
        </w:rPr>
        <w:t>млн</w:t>
      </w:r>
      <w:proofErr w:type="gramEnd"/>
      <w:r w:rsidRPr="00882D12">
        <w:rPr>
          <w:sz w:val="26"/>
          <w:szCs w:val="26"/>
        </w:rPr>
        <w:t xml:space="preserve"> рублей, или на 7,0 процент</w:t>
      </w:r>
      <w:r w:rsidR="00A46569" w:rsidRPr="00882D12">
        <w:rPr>
          <w:sz w:val="26"/>
          <w:szCs w:val="26"/>
        </w:rPr>
        <w:t>ов</w:t>
      </w:r>
      <w:r w:rsidRPr="00882D12">
        <w:rPr>
          <w:sz w:val="26"/>
          <w:szCs w:val="26"/>
        </w:rPr>
        <w:t>.</w:t>
      </w:r>
    </w:p>
    <w:p w:rsidR="00594EB6" w:rsidRPr="00882D12" w:rsidRDefault="00594EB6" w:rsidP="00882D1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882D12">
        <w:rPr>
          <w:b/>
          <w:bCs/>
          <w:i/>
          <w:iCs/>
          <w:sz w:val="26"/>
          <w:szCs w:val="26"/>
        </w:rPr>
        <w:t>Расходы</w:t>
      </w:r>
      <w:r w:rsidRPr="00882D12">
        <w:rPr>
          <w:sz w:val="26"/>
          <w:szCs w:val="26"/>
        </w:rPr>
        <w:t xml:space="preserve"> бюджета города исполнены в сумме </w:t>
      </w:r>
      <w:r w:rsidR="005E2EA4" w:rsidRPr="00882D12">
        <w:rPr>
          <w:b/>
          <w:sz w:val="26"/>
          <w:szCs w:val="26"/>
        </w:rPr>
        <w:t>3817,1</w:t>
      </w:r>
      <w:r w:rsidRPr="00882D12">
        <w:rPr>
          <w:sz w:val="26"/>
          <w:szCs w:val="26"/>
        </w:rPr>
        <w:t xml:space="preserve"> </w:t>
      </w:r>
      <w:proofErr w:type="gramStart"/>
      <w:r w:rsidRPr="00882D12">
        <w:rPr>
          <w:sz w:val="26"/>
          <w:szCs w:val="26"/>
        </w:rPr>
        <w:t>млн</w:t>
      </w:r>
      <w:proofErr w:type="gramEnd"/>
      <w:r w:rsidRPr="00882D12">
        <w:rPr>
          <w:b/>
          <w:bCs/>
          <w:i/>
          <w:iCs/>
          <w:sz w:val="26"/>
          <w:szCs w:val="26"/>
        </w:rPr>
        <w:t xml:space="preserve"> </w:t>
      </w:r>
      <w:r w:rsidRPr="00882D12">
        <w:rPr>
          <w:sz w:val="26"/>
          <w:szCs w:val="26"/>
        </w:rPr>
        <w:t xml:space="preserve">рублей, что составляет </w:t>
      </w:r>
      <w:r w:rsidR="005E2EA4" w:rsidRPr="00882D12">
        <w:rPr>
          <w:b/>
          <w:i/>
          <w:sz w:val="26"/>
          <w:szCs w:val="26"/>
        </w:rPr>
        <w:t>54,0</w:t>
      </w:r>
      <w:r w:rsidRPr="00882D12">
        <w:rPr>
          <w:b/>
          <w:bCs/>
          <w:i/>
          <w:iCs/>
          <w:sz w:val="26"/>
          <w:szCs w:val="26"/>
        </w:rPr>
        <w:t>%</w:t>
      </w:r>
      <w:r w:rsidRPr="00882D12">
        <w:rPr>
          <w:sz w:val="26"/>
          <w:szCs w:val="26"/>
        </w:rPr>
        <w:t xml:space="preserve"> к уточненным назначениям и </w:t>
      </w:r>
      <w:r w:rsidR="005E2EA4" w:rsidRPr="00882D12">
        <w:rPr>
          <w:b/>
          <w:i/>
          <w:sz w:val="26"/>
          <w:szCs w:val="26"/>
        </w:rPr>
        <w:t>60,5</w:t>
      </w:r>
      <w:r w:rsidRPr="00882D12">
        <w:rPr>
          <w:b/>
          <w:i/>
          <w:sz w:val="26"/>
          <w:szCs w:val="26"/>
        </w:rPr>
        <w:t>%</w:t>
      </w:r>
      <w:r w:rsidRPr="00882D12">
        <w:rPr>
          <w:sz w:val="26"/>
          <w:szCs w:val="26"/>
        </w:rPr>
        <w:t xml:space="preserve"> к первоначально утвержденному бюджету (для сравнения </w:t>
      </w:r>
      <w:r w:rsidR="000061AD" w:rsidRPr="00882D12">
        <w:rPr>
          <w:sz w:val="26"/>
          <w:szCs w:val="26"/>
        </w:rPr>
        <w:t>перв</w:t>
      </w:r>
      <w:r w:rsidR="006C3509" w:rsidRPr="00882D12">
        <w:rPr>
          <w:sz w:val="26"/>
          <w:szCs w:val="26"/>
        </w:rPr>
        <w:t>ое полугодие</w:t>
      </w:r>
      <w:r w:rsidRPr="00882D12">
        <w:rPr>
          <w:sz w:val="26"/>
          <w:szCs w:val="26"/>
        </w:rPr>
        <w:t xml:space="preserve"> 2014 года </w:t>
      </w:r>
      <w:r w:rsidR="005057BE" w:rsidRPr="00882D12">
        <w:rPr>
          <w:sz w:val="26"/>
          <w:szCs w:val="26"/>
        </w:rPr>
        <w:t>–</w:t>
      </w:r>
      <w:r w:rsidRPr="00882D12">
        <w:rPr>
          <w:sz w:val="26"/>
          <w:szCs w:val="26"/>
        </w:rPr>
        <w:t xml:space="preserve"> </w:t>
      </w:r>
      <w:r w:rsidR="006C3509" w:rsidRPr="00882D12">
        <w:rPr>
          <w:sz w:val="26"/>
          <w:szCs w:val="26"/>
        </w:rPr>
        <w:t>3697,4</w:t>
      </w:r>
      <w:r w:rsidRPr="00882D12">
        <w:rPr>
          <w:sz w:val="26"/>
          <w:szCs w:val="26"/>
        </w:rPr>
        <w:t xml:space="preserve"> млн рублей, к уточненным назначениям по состоянию на 01.0</w:t>
      </w:r>
      <w:r w:rsidR="006C3509" w:rsidRPr="00882D12">
        <w:rPr>
          <w:sz w:val="26"/>
          <w:szCs w:val="26"/>
        </w:rPr>
        <w:t>7</w:t>
      </w:r>
      <w:r w:rsidRPr="00882D12">
        <w:rPr>
          <w:sz w:val="26"/>
          <w:szCs w:val="26"/>
        </w:rPr>
        <w:t xml:space="preserve">.2014 – </w:t>
      </w:r>
      <w:r w:rsidR="006C3509" w:rsidRPr="00882D12">
        <w:rPr>
          <w:sz w:val="26"/>
          <w:szCs w:val="26"/>
        </w:rPr>
        <w:t>50,3</w:t>
      </w:r>
      <w:r w:rsidRPr="00882D12">
        <w:rPr>
          <w:sz w:val="26"/>
          <w:szCs w:val="26"/>
        </w:rPr>
        <w:t xml:space="preserve">%, к первоначально утвержденному бюджету – </w:t>
      </w:r>
      <w:r w:rsidR="006C3509" w:rsidRPr="00882D12">
        <w:rPr>
          <w:sz w:val="26"/>
          <w:szCs w:val="26"/>
        </w:rPr>
        <w:t>58,5</w:t>
      </w:r>
      <w:r w:rsidRPr="00882D12">
        <w:rPr>
          <w:sz w:val="26"/>
          <w:szCs w:val="26"/>
        </w:rPr>
        <w:t xml:space="preserve">%). За счет безвозмездных поступлений от других бюджетов в </w:t>
      </w:r>
      <w:r w:rsidR="000061AD" w:rsidRPr="00882D12">
        <w:rPr>
          <w:sz w:val="26"/>
          <w:szCs w:val="26"/>
        </w:rPr>
        <w:t>первом</w:t>
      </w:r>
      <w:r w:rsidRPr="00882D12">
        <w:rPr>
          <w:sz w:val="26"/>
          <w:szCs w:val="26"/>
        </w:rPr>
        <w:t xml:space="preserve"> </w:t>
      </w:r>
      <w:r w:rsidR="006C3509" w:rsidRPr="00882D12">
        <w:rPr>
          <w:sz w:val="26"/>
          <w:szCs w:val="26"/>
        </w:rPr>
        <w:t>полугодии</w:t>
      </w:r>
      <w:r w:rsidRPr="00882D12">
        <w:rPr>
          <w:sz w:val="26"/>
          <w:szCs w:val="26"/>
        </w:rPr>
        <w:t xml:space="preserve"> 2015 года израсходовано </w:t>
      </w:r>
      <w:r w:rsidR="006C3509" w:rsidRPr="00882D12">
        <w:rPr>
          <w:sz w:val="26"/>
          <w:szCs w:val="26"/>
        </w:rPr>
        <w:t>2068,3</w:t>
      </w:r>
      <w:r w:rsidRPr="00882D12">
        <w:rPr>
          <w:sz w:val="26"/>
          <w:szCs w:val="26"/>
        </w:rPr>
        <w:t xml:space="preserve"> </w:t>
      </w:r>
      <w:proofErr w:type="gramStart"/>
      <w:r w:rsidRPr="00882D12">
        <w:rPr>
          <w:sz w:val="26"/>
          <w:szCs w:val="26"/>
        </w:rPr>
        <w:t>млн</w:t>
      </w:r>
      <w:proofErr w:type="gramEnd"/>
      <w:r w:rsidRPr="00882D12">
        <w:rPr>
          <w:sz w:val="26"/>
          <w:szCs w:val="26"/>
        </w:rPr>
        <w:t xml:space="preserve"> рублей, или </w:t>
      </w:r>
      <w:r w:rsidR="00745F05" w:rsidRPr="00882D12">
        <w:rPr>
          <w:sz w:val="26"/>
          <w:szCs w:val="26"/>
        </w:rPr>
        <w:t>54,2</w:t>
      </w:r>
      <w:r w:rsidRPr="00882D12">
        <w:rPr>
          <w:sz w:val="26"/>
          <w:szCs w:val="26"/>
        </w:rPr>
        <w:t xml:space="preserve">% общего объема кассовых расходов (в </w:t>
      </w:r>
      <w:r w:rsidR="000061AD" w:rsidRPr="00882D12">
        <w:rPr>
          <w:sz w:val="26"/>
          <w:szCs w:val="26"/>
        </w:rPr>
        <w:t>первом</w:t>
      </w:r>
      <w:r w:rsidRPr="00882D12">
        <w:rPr>
          <w:sz w:val="26"/>
          <w:szCs w:val="26"/>
        </w:rPr>
        <w:t xml:space="preserve"> </w:t>
      </w:r>
      <w:r w:rsidR="00990A46" w:rsidRPr="00882D12">
        <w:rPr>
          <w:sz w:val="26"/>
          <w:szCs w:val="26"/>
        </w:rPr>
        <w:t>полугодии</w:t>
      </w:r>
      <w:r w:rsidRPr="00882D12">
        <w:rPr>
          <w:sz w:val="26"/>
          <w:szCs w:val="26"/>
        </w:rPr>
        <w:t xml:space="preserve"> 2014 года – </w:t>
      </w:r>
      <w:r w:rsidR="00787BFE" w:rsidRPr="00882D12">
        <w:rPr>
          <w:sz w:val="26"/>
          <w:szCs w:val="26"/>
        </w:rPr>
        <w:t>1846,6</w:t>
      </w:r>
      <w:r w:rsidRPr="00882D12">
        <w:rPr>
          <w:sz w:val="26"/>
          <w:szCs w:val="26"/>
        </w:rPr>
        <w:t xml:space="preserve"> млн рублей, или 4</w:t>
      </w:r>
      <w:r w:rsidR="00787BFE" w:rsidRPr="00882D12">
        <w:rPr>
          <w:sz w:val="26"/>
          <w:szCs w:val="26"/>
        </w:rPr>
        <w:t>9,9</w:t>
      </w:r>
      <w:r w:rsidRPr="00882D12">
        <w:rPr>
          <w:sz w:val="26"/>
          <w:szCs w:val="26"/>
        </w:rPr>
        <w:t xml:space="preserve">%). За отчетный период 2015 года по сравнению с аналогичным периодом 2014 года расходы бюджета в целом больше на </w:t>
      </w:r>
      <w:r w:rsidR="00787BFE" w:rsidRPr="00882D12">
        <w:rPr>
          <w:sz w:val="26"/>
          <w:szCs w:val="26"/>
        </w:rPr>
        <w:t>119,7</w:t>
      </w:r>
      <w:r w:rsidRPr="00882D12">
        <w:rPr>
          <w:sz w:val="26"/>
          <w:szCs w:val="26"/>
        </w:rPr>
        <w:t xml:space="preserve"> </w:t>
      </w:r>
      <w:proofErr w:type="gramStart"/>
      <w:r w:rsidRPr="00882D12">
        <w:rPr>
          <w:sz w:val="26"/>
          <w:szCs w:val="26"/>
        </w:rPr>
        <w:t>млн</w:t>
      </w:r>
      <w:proofErr w:type="gramEnd"/>
      <w:r w:rsidRPr="00882D12">
        <w:rPr>
          <w:sz w:val="26"/>
          <w:szCs w:val="26"/>
        </w:rPr>
        <w:t xml:space="preserve"> рублей</w:t>
      </w:r>
      <w:r w:rsidR="00676811" w:rsidRPr="00882D12">
        <w:rPr>
          <w:sz w:val="26"/>
          <w:szCs w:val="26"/>
        </w:rPr>
        <w:t xml:space="preserve"> (</w:t>
      </w:r>
      <w:r w:rsidRPr="00882D12">
        <w:rPr>
          <w:sz w:val="26"/>
          <w:szCs w:val="26"/>
        </w:rPr>
        <w:t xml:space="preserve">на </w:t>
      </w:r>
      <w:r w:rsidR="00787BFE" w:rsidRPr="00882D12">
        <w:rPr>
          <w:sz w:val="26"/>
          <w:szCs w:val="26"/>
        </w:rPr>
        <w:t>3,2</w:t>
      </w:r>
      <w:r w:rsidRPr="00882D12">
        <w:rPr>
          <w:sz w:val="26"/>
          <w:szCs w:val="26"/>
        </w:rPr>
        <w:t>%</w:t>
      </w:r>
      <w:r w:rsidR="00676811" w:rsidRPr="00882D12">
        <w:rPr>
          <w:sz w:val="26"/>
          <w:szCs w:val="26"/>
        </w:rPr>
        <w:t>)</w:t>
      </w:r>
      <w:r w:rsidRPr="00882D12">
        <w:rPr>
          <w:sz w:val="26"/>
          <w:szCs w:val="26"/>
        </w:rPr>
        <w:t xml:space="preserve">, расходы за счет безвозмездных поступлений больше на </w:t>
      </w:r>
      <w:r w:rsidR="00787BFE" w:rsidRPr="00882D12">
        <w:rPr>
          <w:sz w:val="26"/>
          <w:szCs w:val="26"/>
        </w:rPr>
        <w:t>221,7</w:t>
      </w:r>
      <w:r w:rsidRPr="00882D12">
        <w:rPr>
          <w:sz w:val="26"/>
          <w:szCs w:val="26"/>
        </w:rPr>
        <w:t xml:space="preserve"> млн рублей (на </w:t>
      </w:r>
      <w:r w:rsidR="00787BFE" w:rsidRPr="00882D12">
        <w:rPr>
          <w:sz w:val="26"/>
          <w:szCs w:val="26"/>
        </w:rPr>
        <w:t>12,0</w:t>
      </w:r>
      <w:r w:rsidRPr="00882D12">
        <w:rPr>
          <w:sz w:val="26"/>
          <w:szCs w:val="26"/>
        </w:rPr>
        <w:t>%).</w:t>
      </w:r>
    </w:p>
    <w:p w:rsidR="00594EB6" w:rsidRPr="00882D12" w:rsidRDefault="00594EB6" w:rsidP="00882D12">
      <w:pPr>
        <w:spacing w:line="276" w:lineRule="auto"/>
        <w:ind w:firstLine="709"/>
        <w:jc w:val="both"/>
        <w:rPr>
          <w:sz w:val="28"/>
          <w:szCs w:val="28"/>
        </w:rPr>
      </w:pPr>
      <w:r w:rsidRPr="00882D12">
        <w:rPr>
          <w:sz w:val="26"/>
          <w:szCs w:val="26"/>
        </w:rPr>
        <w:t xml:space="preserve">В разрезе разделов классификации расходов наиболее высокий процент исполнения сложился по разделам </w:t>
      </w:r>
      <w:r w:rsidR="00F13C78" w:rsidRPr="00882D12">
        <w:rPr>
          <w:sz w:val="26"/>
          <w:szCs w:val="26"/>
        </w:rPr>
        <w:t xml:space="preserve">1000 «Социальная политика» </w:t>
      </w:r>
      <w:r w:rsidR="005057BE" w:rsidRPr="00882D12">
        <w:rPr>
          <w:sz w:val="26"/>
          <w:szCs w:val="26"/>
        </w:rPr>
        <w:t>–</w:t>
      </w:r>
      <w:r w:rsidR="00F13C78" w:rsidRPr="00882D12">
        <w:rPr>
          <w:sz w:val="26"/>
          <w:szCs w:val="26"/>
        </w:rPr>
        <w:t xml:space="preserve"> </w:t>
      </w:r>
      <w:r w:rsidR="00D83305" w:rsidRPr="00882D12">
        <w:rPr>
          <w:sz w:val="26"/>
          <w:szCs w:val="26"/>
        </w:rPr>
        <w:t>64,3</w:t>
      </w:r>
      <w:r w:rsidR="00F13C78" w:rsidRPr="00882D12">
        <w:rPr>
          <w:sz w:val="26"/>
          <w:szCs w:val="26"/>
        </w:rPr>
        <w:t>%,</w:t>
      </w:r>
      <w:r w:rsidR="00D83305" w:rsidRPr="00882D12">
        <w:rPr>
          <w:b/>
          <w:sz w:val="26"/>
          <w:szCs w:val="26"/>
        </w:rPr>
        <w:t xml:space="preserve"> </w:t>
      </w:r>
      <w:r w:rsidR="00D83305" w:rsidRPr="00882D12">
        <w:rPr>
          <w:sz w:val="26"/>
          <w:szCs w:val="26"/>
        </w:rPr>
        <w:t xml:space="preserve">0700 «Образование» </w:t>
      </w:r>
      <w:r w:rsidR="005057BE" w:rsidRPr="00882D12">
        <w:rPr>
          <w:sz w:val="26"/>
          <w:szCs w:val="26"/>
        </w:rPr>
        <w:t>–</w:t>
      </w:r>
      <w:r w:rsidR="00D83305" w:rsidRPr="00882D12">
        <w:rPr>
          <w:sz w:val="26"/>
          <w:szCs w:val="26"/>
        </w:rPr>
        <w:t xml:space="preserve"> 55,8%</w:t>
      </w:r>
      <w:r w:rsidR="00B93264" w:rsidRPr="00882D12">
        <w:rPr>
          <w:sz w:val="26"/>
          <w:szCs w:val="26"/>
        </w:rPr>
        <w:t>,</w:t>
      </w:r>
      <w:r w:rsidR="0022266F" w:rsidRPr="00882D12">
        <w:rPr>
          <w:sz w:val="26"/>
          <w:szCs w:val="26"/>
        </w:rPr>
        <w:t xml:space="preserve"> 0200 «Национальная оборона» </w:t>
      </w:r>
      <w:r w:rsidR="005057BE" w:rsidRPr="00882D12">
        <w:rPr>
          <w:sz w:val="26"/>
          <w:szCs w:val="26"/>
        </w:rPr>
        <w:t>–</w:t>
      </w:r>
      <w:r w:rsidR="0022266F" w:rsidRPr="00882D12">
        <w:rPr>
          <w:sz w:val="26"/>
          <w:szCs w:val="26"/>
        </w:rPr>
        <w:t xml:space="preserve"> 51,2%, </w:t>
      </w:r>
      <w:r w:rsidRPr="00882D12">
        <w:rPr>
          <w:sz w:val="26"/>
          <w:szCs w:val="26"/>
        </w:rPr>
        <w:t xml:space="preserve">наиболее низкий </w:t>
      </w:r>
      <w:r w:rsidR="005057BE" w:rsidRPr="00882D12">
        <w:rPr>
          <w:sz w:val="26"/>
          <w:szCs w:val="26"/>
        </w:rPr>
        <w:t>–</w:t>
      </w:r>
      <w:r w:rsidRPr="00882D12">
        <w:rPr>
          <w:sz w:val="26"/>
          <w:szCs w:val="26"/>
        </w:rPr>
        <w:t xml:space="preserve"> по разделам </w:t>
      </w:r>
      <w:r w:rsidR="0022266F" w:rsidRPr="00882D12">
        <w:rPr>
          <w:sz w:val="26"/>
          <w:szCs w:val="26"/>
        </w:rPr>
        <w:t xml:space="preserve">0600 «Охрана окружающей среды» </w:t>
      </w:r>
      <w:r w:rsidR="005057BE" w:rsidRPr="00882D12">
        <w:rPr>
          <w:sz w:val="26"/>
          <w:szCs w:val="26"/>
        </w:rPr>
        <w:t>–</w:t>
      </w:r>
      <w:r w:rsidR="0022266F" w:rsidRPr="00882D12">
        <w:rPr>
          <w:sz w:val="26"/>
          <w:szCs w:val="26"/>
        </w:rPr>
        <w:t xml:space="preserve"> 8,1%, </w:t>
      </w:r>
      <w:r w:rsidRPr="00882D12">
        <w:rPr>
          <w:sz w:val="26"/>
          <w:szCs w:val="26"/>
        </w:rPr>
        <w:t xml:space="preserve">0900 «Здравоохранение» </w:t>
      </w:r>
      <w:r w:rsidR="005057BE" w:rsidRPr="00882D12">
        <w:rPr>
          <w:sz w:val="26"/>
          <w:szCs w:val="26"/>
        </w:rPr>
        <w:t>–</w:t>
      </w:r>
      <w:r w:rsidRPr="00882D12">
        <w:rPr>
          <w:sz w:val="26"/>
          <w:szCs w:val="26"/>
        </w:rPr>
        <w:t xml:space="preserve"> 2</w:t>
      </w:r>
      <w:r w:rsidR="0022266F" w:rsidRPr="00882D12">
        <w:rPr>
          <w:sz w:val="26"/>
          <w:szCs w:val="26"/>
        </w:rPr>
        <w:t>8,9 процента.</w:t>
      </w:r>
      <w:r w:rsidRPr="00882D12">
        <w:rPr>
          <w:sz w:val="26"/>
          <w:szCs w:val="26"/>
        </w:rPr>
        <w:t xml:space="preserve"> </w:t>
      </w:r>
    </w:p>
    <w:p w:rsidR="00594EB6" w:rsidRPr="00882D12" w:rsidRDefault="00594EB6" w:rsidP="00882D12">
      <w:pPr>
        <w:spacing w:line="276" w:lineRule="auto"/>
        <w:ind w:firstLine="709"/>
        <w:jc w:val="both"/>
        <w:rPr>
          <w:sz w:val="26"/>
          <w:szCs w:val="26"/>
        </w:rPr>
      </w:pPr>
      <w:r w:rsidRPr="00882D12">
        <w:rPr>
          <w:sz w:val="26"/>
          <w:szCs w:val="26"/>
        </w:rPr>
        <w:t xml:space="preserve">Исполнение бюджетных назначений в ведомственной структуре по </w:t>
      </w:r>
      <w:r w:rsidR="00544C28" w:rsidRPr="00882D12">
        <w:rPr>
          <w:sz w:val="26"/>
          <w:szCs w:val="26"/>
        </w:rPr>
        <w:t>всем</w:t>
      </w:r>
      <w:r w:rsidRPr="00882D12">
        <w:rPr>
          <w:b/>
          <w:sz w:val="26"/>
          <w:szCs w:val="26"/>
        </w:rPr>
        <w:t xml:space="preserve"> </w:t>
      </w:r>
      <w:r w:rsidRPr="00882D12">
        <w:rPr>
          <w:sz w:val="26"/>
          <w:szCs w:val="26"/>
        </w:rPr>
        <w:t>главным распорядителям</w:t>
      </w:r>
      <w:r w:rsidR="00544C28" w:rsidRPr="00882D12">
        <w:rPr>
          <w:sz w:val="26"/>
          <w:szCs w:val="26"/>
        </w:rPr>
        <w:t>, кроме Управления физической культуры и массового спорта Администрации города Вологды,</w:t>
      </w:r>
      <w:r w:rsidRPr="00882D12">
        <w:rPr>
          <w:sz w:val="26"/>
          <w:szCs w:val="26"/>
        </w:rPr>
        <w:t xml:space="preserve"> сложилось выше, чем за аналогичный период 201</w:t>
      </w:r>
      <w:r w:rsidR="00702E58" w:rsidRPr="00882D12">
        <w:rPr>
          <w:sz w:val="26"/>
          <w:szCs w:val="26"/>
        </w:rPr>
        <w:t>4</w:t>
      </w:r>
      <w:r w:rsidRPr="00882D12">
        <w:rPr>
          <w:sz w:val="26"/>
          <w:szCs w:val="26"/>
        </w:rPr>
        <w:t xml:space="preserve"> года</w:t>
      </w:r>
      <w:r w:rsidR="00702E58" w:rsidRPr="00882D12">
        <w:rPr>
          <w:sz w:val="26"/>
          <w:szCs w:val="26"/>
        </w:rPr>
        <w:t xml:space="preserve"> (таблица</w:t>
      </w:r>
      <w:r w:rsidRPr="00882D12">
        <w:rPr>
          <w:sz w:val="26"/>
          <w:szCs w:val="26"/>
        </w:rPr>
        <w:t xml:space="preserve"> 2</w:t>
      </w:r>
      <w:r w:rsidR="00702E58" w:rsidRPr="00882D12">
        <w:rPr>
          <w:sz w:val="26"/>
          <w:szCs w:val="26"/>
        </w:rPr>
        <w:t>)</w:t>
      </w:r>
      <w:r w:rsidRPr="00882D12">
        <w:rPr>
          <w:sz w:val="26"/>
          <w:szCs w:val="26"/>
        </w:rPr>
        <w:t>.</w:t>
      </w:r>
    </w:p>
    <w:p w:rsidR="00594EB6" w:rsidRPr="00882D12" w:rsidRDefault="0041207D" w:rsidP="00882D12">
      <w:pPr>
        <w:spacing w:line="276" w:lineRule="auto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Таблица 2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544"/>
        <w:gridCol w:w="964"/>
        <w:gridCol w:w="1020"/>
        <w:gridCol w:w="1134"/>
        <w:gridCol w:w="1276"/>
      </w:tblGrid>
      <w:tr w:rsidR="00882D12" w:rsidRPr="00882D12" w:rsidTr="00702E58">
        <w:trPr>
          <w:trHeight w:val="402"/>
        </w:trPr>
        <w:tc>
          <w:tcPr>
            <w:tcW w:w="5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882D12" w:rsidRDefault="00702E58" w:rsidP="00702E58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Наименование главного распорядителя бюджетных средств</w:t>
            </w:r>
          </w:p>
        </w:tc>
        <w:tc>
          <w:tcPr>
            <w:tcW w:w="9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882D12" w:rsidRDefault="00594EB6" w:rsidP="00437201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Код ведомства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4EB6" w:rsidRPr="00882D12" w:rsidRDefault="00594EB6" w:rsidP="00437201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Процент исполнения</w:t>
            </w:r>
            <w:proofErr w:type="gramStart"/>
            <w:r w:rsidRPr="00882D12">
              <w:rPr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882D12" w:rsidRDefault="00594EB6" w:rsidP="00437201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Отклонение</w:t>
            </w:r>
          </w:p>
        </w:tc>
      </w:tr>
      <w:tr w:rsidR="00882D12" w:rsidRPr="00882D12" w:rsidTr="00702E58">
        <w:trPr>
          <w:trHeight w:val="402"/>
        </w:trPr>
        <w:tc>
          <w:tcPr>
            <w:tcW w:w="5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4EB6" w:rsidRPr="00882D12" w:rsidRDefault="00594EB6" w:rsidP="00437201">
            <w:pPr>
              <w:rPr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4EB6" w:rsidRPr="00882D12" w:rsidRDefault="00594EB6" w:rsidP="00437201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882D12" w:rsidRDefault="00594EB6" w:rsidP="00241CC7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 xml:space="preserve">1 </w:t>
            </w:r>
            <w:r w:rsidR="00241CC7" w:rsidRPr="00882D12">
              <w:rPr>
                <w:sz w:val="16"/>
                <w:szCs w:val="16"/>
              </w:rPr>
              <w:t>полугодие</w:t>
            </w:r>
            <w:r w:rsidRPr="00882D12">
              <w:rPr>
                <w:sz w:val="16"/>
                <w:szCs w:val="16"/>
              </w:rPr>
              <w:t xml:space="preserve"> 2014</w:t>
            </w:r>
            <w:r w:rsidR="00702E58" w:rsidRPr="00882D12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882D12" w:rsidRDefault="00594EB6" w:rsidP="00241CC7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 xml:space="preserve">1 </w:t>
            </w:r>
            <w:r w:rsidR="00241CC7" w:rsidRPr="00882D12">
              <w:rPr>
                <w:sz w:val="16"/>
                <w:szCs w:val="16"/>
              </w:rPr>
              <w:t>полугодие</w:t>
            </w:r>
            <w:r w:rsidRPr="00882D12">
              <w:rPr>
                <w:sz w:val="16"/>
                <w:szCs w:val="16"/>
              </w:rPr>
              <w:t xml:space="preserve"> 2015 </w:t>
            </w:r>
            <w:r w:rsidR="00702E58" w:rsidRPr="00882D12">
              <w:rPr>
                <w:sz w:val="16"/>
                <w:szCs w:val="16"/>
              </w:rPr>
              <w:t>года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4EB6" w:rsidRPr="00882D12" w:rsidRDefault="00594EB6" w:rsidP="00437201">
            <w:pPr>
              <w:rPr>
                <w:sz w:val="16"/>
                <w:szCs w:val="16"/>
              </w:rPr>
            </w:pPr>
          </w:p>
        </w:tc>
      </w:tr>
      <w:tr w:rsidR="00882D12" w:rsidRPr="00882D12" w:rsidTr="000322A9">
        <w:trPr>
          <w:trHeight w:val="238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C28" w:rsidRPr="00882D12" w:rsidRDefault="00544C28" w:rsidP="00544C28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C28" w:rsidRPr="00882D12" w:rsidRDefault="00544C28" w:rsidP="00544C28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C28" w:rsidRPr="00882D12" w:rsidRDefault="00544C28" w:rsidP="00544C28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C28" w:rsidRPr="00882D12" w:rsidRDefault="00544C28" w:rsidP="00544C28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C28" w:rsidRPr="00882D12" w:rsidRDefault="00544C28" w:rsidP="00544C28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5=4-3</w:t>
            </w:r>
          </w:p>
        </w:tc>
      </w:tr>
      <w:tr w:rsidR="00882D12" w:rsidRPr="00882D12" w:rsidTr="000322A9">
        <w:trPr>
          <w:trHeight w:val="238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882D12" w:rsidRDefault="00594EB6" w:rsidP="00437201">
            <w:pPr>
              <w:jc w:val="both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Вологодская городская Дума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882D12" w:rsidRDefault="00594EB6" w:rsidP="00437201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203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EB6" w:rsidRPr="00882D12" w:rsidRDefault="00D14877" w:rsidP="00437201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40</w:t>
            </w:r>
            <w:r w:rsidR="006B39E2" w:rsidRPr="00882D12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882D12" w:rsidRDefault="00AF3A84" w:rsidP="00AF3A84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EB6" w:rsidRPr="00882D12" w:rsidRDefault="00544C28" w:rsidP="00C62926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6,0</w:t>
            </w:r>
          </w:p>
        </w:tc>
      </w:tr>
      <w:tr w:rsidR="00882D12" w:rsidRPr="00882D12" w:rsidTr="000322A9">
        <w:trPr>
          <w:trHeight w:val="407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882D12" w:rsidRDefault="00594EB6" w:rsidP="00437201">
            <w:pPr>
              <w:jc w:val="both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Управление физической культуры и массового спорта Администрации города</w:t>
            </w:r>
            <w:r w:rsidR="005A3876" w:rsidRPr="00882D12">
              <w:rPr>
                <w:sz w:val="16"/>
                <w:szCs w:val="16"/>
              </w:rPr>
              <w:t xml:space="preserve"> Вологды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882D12" w:rsidRDefault="00594EB6" w:rsidP="00437201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EB6" w:rsidRPr="00882D12" w:rsidRDefault="00D14877" w:rsidP="00437201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882D12" w:rsidRDefault="00AF3A84" w:rsidP="00437201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EB6" w:rsidRPr="00882D12" w:rsidRDefault="00544C28" w:rsidP="00437201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-22,0</w:t>
            </w:r>
          </w:p>
        </w:tc>
      </w:tr>
      <w:tr w:rsidR="00882D12" w:rsidRPr="00882D12" w:rsidTr="000322A9">
        <w:trPr>
          <w:trHeight w:val="411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882D12" w:rsidRDefault="00594EB6" w:rsidP="00437201">
            <w:pPr>
              <w:jc w:val="both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Управление культуры и историко-культурного наследия Администрации города</w:t>
            </w:r>
            <w:r w:rsidR="005A3876" w:rsidRPr="00882D12">
              <w:rPr>
                <w:sz w:val="16"/>
                <w:szCs w:val="16"/>
              </w:rPr>
              <w:t xml:space="preserve"> Вологды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882D12" w:rsidRDefault="00594EB6" w:rsidP="00437201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EB6" w:rsidRPr="00882D12" w:rsidRDefault="00D14877" w:rsidP="00437201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882D12" w:rsidRDefault="00AF3A84" w:rsidP="00437201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EB6" w:rsidRPr="00882D12" w:rsidRDefault="00544C28" w:rsidP="00C62926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1,5</w:t>
            </w:r>
          </w:p>
        </w:tc>
      </w:tr>
      <w:tr w:rsidR="00882D12" w:rsidRPr="00882D12" w:rsidTr="000322A9">
        <w:trPr>
          <w:trHeight w:val="12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882D12" w:rsidRDefault="00594EB6" w:rsidP="00437201">
            <w:pPr>
              <w:jc w:val="both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 xml:space="preserve">Управление социальной </w:t>
            </w:r>
            <w:proofErr w:type="gramStart"/>
            <w:r w:rsidRPr="00882D12">
              <w:rPr>
                <w:sz w:val="16"/>
                <w:szCs w:val="16"/>
              </w:rPr>
              <w:t>защиты Администрации города Вологды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882D12" w:rsidRDefault="00594EB6" w:rsidP="00437201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215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EB6" w:rsidRPr="00882D12" w:rsidRDefault="00D14877" w:rsidP="00437201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882D12" w:rsidRDefault="00AF3A84" w:rsidP="00AF3A84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EB6" w:rsidRPr="00882D12" w:rsidRDefault="00544C28" w:rsidP="00437201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10,5</w:t>
            </w:r>
          </w:p>
        </w:tc>
      </w:tr>
      <w:tr w:rsidR="00882D12" w:rsidRPr="00882D12" w:rsidTr="000322A9">
        <w:trPr>
          <w:trHeight w:val="193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882D12" w:rsidRDefault="00594EB6" w:rsidP="00437201">
            <w:pPr>
              <w:jc w:val="both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 xml:space="preserve">Управление </w:t>
            </w:r>
            <w:proofErr w:type="gramStart"/>
            <w:r w:rsidRPr="00882D12">
              <w:rPr>
                <w:sz w:val="16"/>
                <w:szCs w:val="16"/>
              </w:rPr>
              <w:t>образования Администрации города</w:t>
            </w:r>
            <w:r w:rsidR="005A3876" w:rsidRPr="00882D12">
              <w:rPr>
                <w:sz w:val="16"/>
                <w:szCs w:val="16"/>
              </w:rPr>
              <w:t xml:space="preserve"> Вологды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882D12" w:rsidRDefault="00594EB6" w:rsidP="00437201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241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EB6" w:rsidRPr="00882D12" w:rsidRDefault="00D14877" w:rsidP="00437201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882D12" w:rsidRDefault="00AF3A84" w:rsidP="00AF3A84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EB6" w:rsidRPr="00882D12" w:rsidRDefault="00544C28" w:rsidP="00437201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1,5</w:t>
            </w:r>
          </w:p>
        </w:tc>
      </w:tr>
      <w:tr w:rsidR="00882D12" w:rsidRPr="00882D12" w:rsidTr="000322A9">
        <w:trPr>
          <w:trHeight w:val="388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882D12" w:rsidRDefault="00594EB6" w:rsidP="00437201">
            <w:pPr>
              <w:jc w:val="both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Департамент градостроительства и инфраструктуры Администрации города</w:t>
            </w:r>
            <w:r w:rsidR="005A3876" w:rsidRPr="00882D12">
              <w:rPr>
                <w:sz w:val="16"/>
                <w:szCs w:val="16"/>
              </w:rPr>
              <w:t xml:space="preserve"> Вологды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882D12" w:rsidRDefault="00594EB6" w:rsidP="00437201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EB6" w:rsidRPr="00882D12" w:rsidRDefault="00D14877" w:rsidP="00437201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882D12" w:rsidRDefault="00AF3A84" w:rsidP="00AF3A84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EB6" w:rsidRPr="00882D12" w:rsidRDefault="00544C28" w:rsidP="00437201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6,8</w:t>
            </w:r>
          </w:p>
        </w:tc>
      </w:tr>
      <w:tr w:rsidR="00882D12" w:rsidRPr="00882D12" w:rsidTr="000322A9">
        <w:trPr>
          <w:trHeight w:val="189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882D12" w:rsidRDefault="00594EB6" w:rsidP="00437201">
            <w:pPr>
              <w:jc w:val="both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Контрольно-счетная палата города Вологды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882D12" w:rsidRDefault="00594EB6" w:rsidP="00437201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274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EB6" w:rsidRPr="00882D12" w:rsidRDefault="00D14877" w:rsidP="00437201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882D12" w:rsidRDefault="00AF3A84" w:rsidP="00437201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EB6" w:rsidRPr="00882D12" w:rsidRDefault="00544C28" w:rsidP="00437201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10,8</w:t>
            </w:r>
          </w:p>
        </w:tc>
      </w:tr>
      <w:tr w:rsidR="00882D12" w:rsidRPr="00882D12" w:rsidTr="000322A9">
        <w:trPr>
          <w:trHeight w:val="278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882D12" w:rsidRDefault="00594EB6" w:rsidP="00437201">
            <w:pPr>
              <w:jc w:val="both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Администрация города</w:t>
            </w:r>
            <w:r w:rsidR="005A3876" w:rsidRPr="00882D12">
              <w:rPr>
                <w:sz w:val="16"/>
                <w:szCs w:val="16"/>
              </w:rPr>
              <w:t xml:space="preserve"> Вологды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882D12" w:rsidRDefault="00594EB6" w:rsidP="00437201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925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EB6" w:rsidRPr="00882D12" w:rsidRDefault="00D14877" w:rsidP="00437201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882D12" w:rsidRDefault="00AF3A84" w:rsidP="00437201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EB6" w:rsidRPr="00882D12" w:rsidRDefault="00544C28" w:rsidP="00437201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0,5</w:t>
            </w:r>
          </w:p>
        </w:tc>
      </w:tr>
      <w:tr w:rsidR="00882D12" w:rsidRPr="00882D12" w:rsidTr="000322A9">
        <w:trPr>
          <w:trHeight w:val="111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882D12" w:rsidRDefault="00594EB6" w:rsidP="00437201">
            <w:pPr>
              <w:jc w:val="both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Итого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882D12" w:rsidRDefault="00594EB6" w:rsidP="00437201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EB6" w:rsidRPr="00882D12" w:rsidRDefault="00D14877" w:rsidP="00437201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882D12" w:rsidRDefault="000322A9" w:rsidP="000322A9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EB6" w:rsidRPr="00882D12" w:rsidRDefault="00544C28" w:rsidP="00437201">
            <w:pPr>
              <w:jc w:val="center"/>
              <w:rPr>
                <w:sz w:val="16"/>
                <w:szCs w:val="16"/>
              </w:rPr>
            </w:pPr>
            <w:r w:rsidRPr="00882D12">
              <w:rPr>
                <w:sz w:val="16"/>
                <w:szCs w:val="16"/>
              </w:rPr>
              <w:t>3,7</w:t>
            </w:r>
          </w:p>
        </w:tc>
      </w:tr>
    </w:tbl>
    <w:p w:rsidR="007A4AB4" w:rsidRPr="00882D12" w:rsidRDefault="00594EB6" w:rsidP="00882D12">
      <w:pPr>
        <w:spacing w:line="276" w:lineRule="auto"/>
        <w:ind w:firstLine="708"/>
        <w:jc w:val="both"/>
        <w:rPr>
          <w:b/>
          <w:sz w:val="26"/>
          <w:szCs w:val="26"/>
        </w:rPr>
      </w:pPr>
      <w:r w:rsidRPr="00882D12">
        <w:rPr>
          <w:iCs/>
          <w:sz w:val="26"/>
          <w:szCs w:val="26"/>
        </w:rPr>
        <w:lastRenderedPageBreak/>
        <w:t>Бюджетные ассигнования на</w:t>
      </w:r>
      <w:r w:rsidRPr="00882D12">
        <w:rPr>
          <w:sz w:val="26"/>
          <w:szCs w:val="26"/>
        </w:rPr>
        <w:t xml:space="preserve"> реализацию </w:t>
      </w:r>
      <w:r w:rsidRPr="00882D12">
        <w:rPr>
          <w:i/>
          <w:iCs/>
          <w:sz w:val="26"/>
          <w:szCs w:val="26"/>
        </w:rPr>
        <w:t>муниципальных</w:t>
      </w:r>
      <w:r w:rsidRPr="00882D12">
        <w:rPr>
          <w:sz w:val="26"/>
          <w:szCs w:val="26"/>
        </w:rPr>
        <w:t xml:space="preserve"> </w:t>
      </w:r>
      <w:r w:rsidRPr="00882D12">
        <w:rPr>
          <w:i/>
          <w:iCs/>
          <w:sz w:val="26"/>
          <w:szCs w:val="26"/>
        </w:rPr>
        <w:t>программ</w:t>
      </w:r>
      <w:r w:rsidRPr="00882D12">
        <w:rPr>
          <w:iCs/>
          <w:sz w:val="26"/>
          <w:szCs w:val="26"/>
        </w:rPr>
        <w:t xml:space="preserve"> увеличены за </w:t>
      </w:r>
      <w:r w:rsidR="000061AD" w:rsidRPr="00882D12">
        <w:rPr>
          <w:iCs/>
          <w:sz w:val="26"/>
          <w:szCs w:val="26"/>
        </w:rPr>
        <w:t>перв</w:t>
      </w:r>
      <w:r w:rsidR="00283F15" w:rsidRPr="00882D12">
        <w:rPr>
          <w:iCs/>
          <w:sz w:val="26"/>
          <w:szCs w:val="26"/>
        </w:rPr>
        <w:t>ое полугодие</w:t>
      </w:r>
      <w:r w:rsidRPr="00882D12">
        <w:rPr>
          <w:iCs/>
          <w:sz w:val="26"/>
          <w:szCs w:val="26"/>
        </w:rPr>
        <w:t xml:space="preserve"> 2015 года на </w:t>
      </w:r>
      <w:r w:rsidR="00941844" w:rsidRPr="00882D12">
        <w:rPr>
          <w:iCs/>
          <w:sz w:val="26"/>
          <w:szCs w:val="26"/>
        </w:rPr>
        <w:t>663,1</w:t>
      </w:r>
      <w:r w:rsidRPr="00882D12">
        <w:rPr>
          <w:iCs/>
          <w:sz w:val="26"/>
          <w:szCs w:val="26"/>
        </w:rPr>
        <w:t xml:space="preserve"> </w:t>
      </w:r>
      <w:proofErr w:type="gramStart"/>
      <w:r w:rsidRPr="00882D12">
        <w:rPr>
          <w:iCs/>
          <w:sz w:val="26"/>
          <w:szCs w:val="26"/>
        </w:rPr>
        <w:t>млн</w:t>
      </w:r>
      <w:proofErr w:type="gramEnd"/>
      <w:r w:rsidRPr="00882D12">
        <w:rPr>
          <w:iCs/>
          <w:sz w:val="26"/>
          <w:szCs w:val="26"/>
        </w:rPr>
        <w:t xml:space="preserve"> рублей и составили 5</w:t>
      </w:r>
      <w:r w:rsidR="00941844" w:rsidRPr="00882D12">
        <w:rPr>
          <w:iCs/>
          <w:sz w:val="26"/>
          <w:szCs w:val="26"/>
        </w:rPr>
        <w:t>916,5</w:t>
      </w:r>
      <w:r w:rsidRPr="00882D12">
        <w:rPr>
          <w:iCs/>
          <w:sz w:val="26"/>
          <w:szCs w:val="26"/>
        </w:rPr>
        <w:t xml:space="preserve"> млн рублей. В отчетном периоде на мероприятия муниципальных</w:t>
      </w:r>
      <w:r w:rsidRPr="00882D12">
        <w:rPr>
          <w:sz w:val="26"/>
          <w:szCs w:val="26"/>
        </w:rPr>
        <w:t xml:space="preserve"> программ направлено </w:t>
      </w:r>
      <w:r w:rsidR="001A48DB" w:rsidRPr="00882D12">
        <w:rPr>
          <w:sz w:val="26"/>
          <w:szCs w:val="26"/>
        </w:rPr>
        <w:t>3328,6</w:t>
      </w:r>
      <w:r w:rsidRPr="00882D12">
        <w:rPr>
          <w:sz w:val="26"/>
          <w:szCs w:val="26"/>
        </w:rPr>
        <w:t xml:space="preserve"> </w:t>
      </w:r>
      <w:proofErr w:type="gramStart"/>
      <w:r w:rsidRPr="00882D12">
        <w:rPr>
          <w:sz w:val="26"/>
          <w:szCs w:val="26"/>
        </w:rPr>
        <w:t>млн</w:t>
      </w:r>
      <w:proofErr w:type="gramEnd"/>
      <w:r w:rsidRPr="00882D12">
        <w:rPr>
          <w:sz w:val="26"/>
          <w:szCs w:val="26"/>
        </w:rPr>
        <w:t xml:space="preserve"> рублей, или </w:t>
      </w:r>
      <w:r w:rsidR="00941844" w:rsidRPr="00882D12">
        <w:rPr>
          <w:sz w:val="26"/>
          <w:szCs w:val="26"/>
        </w:rPr>
        <w:t>56,3</w:t>
      </w:r>
      <w:r w:rsidRPr="00882D12">
        <w:rPr>
          <w:sz w:val="26"/>
          <w:szCs w:val="26"/>
        </w:rPr>
        <w:t>% годовых назначений. Из 9 программ профинансированы свыше 5</w:t>
      </w:r>
      <w:r w:rsidR="007D5A96" w:rsidRPr="00882D12">
        <w:rPr>
          <w:sz w:val="26"/>
          <w:szCs w:val="26"/>
        </w:rPr>
        <w:t>0</w:t>
      </w:r>
      <w:r w:rsidRPr="00882D12">
        <w:rPr>
          <w:sz w:val="26"/>
          <w:szCs w:val="26"/>
        </w:rPr>
        <w:t xml:space="preserve">% годовых назначений 4 программы, наиболее высокий процент исполнения сложился по муниципальной программе </w:t>
      </w:r>
      <w:r w:rsidR="007D5A96" w:rsidRPr="00882D12">
        <w:rPr>
          <w:sz w:val="26"/>
          <w:szCs w:val="26"/>
        </w:rPr>
        <w:t xml:space="preserve">«Социальная поддержка граждан» </w:t>
      </w:r>
      <w:r w:rsidR="005F00B6" w:rsidRPr="00882D12">
        <w:rPr>
          <w:sz w:val="26"/>
          <w:szCs w:val="26"/>
        </w:rPr>
        <w:t>–</w:t>
      </w:r>
      <w:r w:rsidR="007D5A96" w:rsidRPr="00882D12">
        <w:rPr>
          <w:sz w:val="26"/>
          <w:szCs w:val="26"/>
        </w:rPr>
        <w:t xml:space="preserve"> 67,0%, </w:t>
      </w:r>
      <w:r w:rsidRPr="00882D12">
        <w:rPr>
          <w:sz w:val="26"/>
          <w:szCs w:val="26"/>
        </w:rPr>
        <w:t xml:space="preserve">наиболее низкий – по муниципальной программе «Экономическое развитие города Вологды» </w:t>
      </w:r>
      <w:r w:rsidR="008F4C5E" w:rsidRPr="00882D12">
        <w:rPr>
          <w:sz w:val="26"/>
          <w:szCs w:val="26"/>
        </w:rPr>
        <w:t>–</w:t>
      </w:r>
      <w:r w:rsidRPr="00882D12">
        <w:rPr>
          <w:sz w:val="26"/>
          <w:szCs w:val="26"/>
        </w:rPr>
        <w:t xml:space="preserve"> </w:t>
      </w:r>
      <w:r w:rsidR="007D5A96" w:rsidRPr="00882D12">
        <w:rPr>
          <w:sz w:val="26"/>
          <w:szCs w:val="26"/>
        </w:rPr>
        <w:t>13,7</w:t>
      </w:r>
      <w:r w:rsidR="00855D80" w:rsidRPr="00882D12">
        <w:rPr>
          <w:sz w:val="26"/>
          <w:szCs w:val="26"/>
        </w:rPr>
        <w:t xml:space="preserve"> процента</w:t>
      </w:r>
      <w:r w:rsidRPr="00882D12">
        <w:rPr>
          <w:sz w:val="26"/>
          <w:szCs w:val="26"/>
        </w:rPr>
        <w:t>. В общем объеме кассовых расходов программные расходы составили 8</w:t>
      </w:r>
      <w:r w:rsidR="001A48DB" w:rsidRPr="00882D12">
        <w:rPr>
          <w:sz w:val="26"/>
          <w:szCs w:val="26"/>
        </w:rPr>
        <w:t>7,2</w:t>
      </w:r>
      <w:r w:rsidR="00855D80" w:rsidRPr="00882D12">
        <w:rPr>
          <w:sz w:val="26"/>
          <w:szCs w:val="26"/>
        </w:rPr>
        <w:t xml:space="preserve"> процента.</w:t>
      </w:r>
      <w:r w:rsidR="007A4AB4" w:rsidRPr="00882D12">
        <w:rPr>
          <w:sz w:val="26"/>
          <w:szCs w:val="26"/>
        </w:rPr>
        <w:t xml:space="preserve"> </w:t>
      </w:r>
    </w:p>
    <w:p w:rsidR="00594EB6" w:rsidRPr="00882D12" w:rsidRDefault="00594EB6" w:rsidP="00882D12">
      <w:pPr>
        <w:spacing w:line="276" w:lineRule="auto"/>
        <w:ind w:firstLine="708"/>
        <w:jc w:val="both"/>
        <w:rPr>
          <w:sz w:val="26"/>
          <w:szCs w:val="26"/>
        </w:rPr>
      </w:pPr>
      <w:r w:rsidRPr="00882D12">
        <w:rPr>
          <w:sz w:val="26"/>
          <w:szCs w:val="26"/>
        </w:rPr>
        <w:t xml:space="preserve">Исполнение бюджетных назначений в рамках реализации непрограммных направлений </w:t>
      </w:r>
      <w:r w:rsidR="00855D80" w:rsidRPr="00882D12">
        <w:rPr>
          <w:sz w:val="26"/>
          <w:szCs w:val="26"/>
        </w:rPr>
        <w:t xml:space="preserve">расходов </w:t>
      </w:r>
      <w:r w:rsidRPr="00882D12">
        <w:rPr>
          <w:sz w:val="26"/>
          <w:szCs w:val="26"/>
        </w:rPr>
        <w:t>составил</w:t>
      </w:r>
      <w:r w:rsidR="00855D80" w:rsidRPr="00882D12">
        <w:rPr>
          <w:sz w:val="26"/>
          <w:szCs w:val="26"/>
        </w:rPr>
        <w:t>о</w:t>
      </w:r>
      <w:r w:rsidRPr="00882D12">
        <w:rPr>
          <w:sz w:val="26"/>
          <w:szCs w:val="26"/>
        </w:rPr>
        <w:t xml:space="preserve"> </w:t>
      </w:r>
      <w:r w:rsidR="001A48DB" w:rsidRPr="00882D12">
        <w:rPr>
          <w:sz w:val="26"/>
          <w:szCs w:val="26"/>
        </w:rPr>
        <w:t>488,5</w:t>
      </w:r>
      <w:r w:rsidRPr="00882D12">
        <w:rPr>
          <w:sz w:val="26"/>
          <w:szCs w:val="26"/>
        </w:rPr>
        <w:t xml:space="preserve"> </w:t>
      </w:r>
      <w:proofErr w:type="gramStart"/>
      <w:r w:rsidRPr="00882D12">
        <w:rPr>
          <w:sz w:val="26"/>
          <w:szCs w:val="26"/>
        </w:rPr>
        <w:t>млн</w:t>
      </w:r>
      <w:proofErr w:type="gramEnd"/>
      <w:r w:rsidRPr="00882D12">
        <w:rPr>
          <w:sz w:val="26"/>
          <w:szCs w:val="26"/>
        </w:rPr>
        <w:t xml:space="preserve"> рублей</w:t>
      </w:r>
      <w:r w:rsidR="00855D80" w:rsidRPr="00882D12">
        <w:rPr>
          <w:sz w:val="26"/>
          <w:szCs w:val="26"/>
        </w:rPr>
        <w:t>,</w:t>
      </w:r>
      <w:r w:rsidRPr="00882D12">
        <w:rPr>
          <w:sz w:val="26"/>
          <w:szCs w:val="26"/>
        </w:rPr>
        <w:t xml:space="preserve"> или </w:t>
      </w:r>
      <w:r w:rsidR="00F13C78" w:rsidRPr="00882D12">
        <w:rPr>
          <w:sz w:val="26"/>
          <w:szCs w:val="26"/>
        </w:rPr>
        <w:t>42,4</w:t>
      </w:r>
      <w:r w:rsidRPr="00882D12">
        <w:rPr>
          <w:sz w:val="26"/>
          <w:szCs w:val="26"/>
        </w:rPr>
        <w:t xml:space="preserve">% годовых назначений. </w:t>
      </w:r>
    </w:p>
    <w:p w:rsidR="00594EB6" w:rsidRPr="00882D12" w:rsidRDefault="00594EB6" w:rsidP="00882D12">
      <w:pPr>
        <w:spacing w:line="276" w:lineRule="auto"/>
        <w:ind w:firstLine="708"/>
        <w:jc w:val="both"/>
        <w:rPr>
          <w:sz w:val="26"/>
          <w:szCs w:val="26"/>
        </w:rPr>
      </w:pPr>
      <w:r w:rsidRPr="00882D12">
        <w:rPr>
          <w:sz w:val="26"/>
          <w:szCs w:val="26"/>
        </w:rPr>
        <w:t xml:space="preserve">На исполнение публичных нормативных обязательств направлено </w:t>
      </w:r>
      <w:r w:rsidR="001A48DB" w:rsidRPr="00882D12">
        <w:rPr>
          <w:sz w:val="26"/>
          <w:szCs w:val="26"/>
        </w:rPr>
        <w:t>57,5</w:t>
      </w:r>
      <w:r w:rsidR="00855D80" w:rsidRPr="00882D12">
        <w:rPr>
          <w:sz w:val="26"/>
          <w:szCs w:val="26"/>
        </w:rPr>
        <w:t xml:space="preserve"> </w:t>
      </w:r>
      <w:proofErr w:type="gramStart"/>
      <w:r w:rsidRPr="00882D12">
        <w:rPr>
          <w:sz w:val="26"/>
          <w:szCs w:val="26"/>
        </w:rPr>
        <w:t>млн</w:t>
      </w:r>
      <w:proofErr w:type="gramEnd"/>
      <w:r w:rsidRPr="00882D12">
        <w:rPr>
          <w:sz w:val="26"/>
          <w:szCs w:val="26"/>
        </w:rPr>
        <w:t xml:space="preserve"> рублей, или </w:t>
      </w:r>
      <w:r w:rsidR="00A763AD" w:rsidRPr="00882D12">
        <w:rPr>
          <w:sz w:val="26"/>
          <w:szCs w:val="26"/>
        </w:rPr>
        <w:t>61,6%</w:t>
      </w:r>
      <w:r w:rsidR="00775A66" w:rsidRPr="00882D12">
        <w:rPr>
          <w:sz w:val="26"/>
          <w:szCs w:val="26"/>
        </w:rPr>
        <w:t xml:space="preserve"> </w:t>
      </w:r>
      <w:r w:rsidRPr="00882D12">
        <w:rPr>
          <w:sz w:val="26"/>
          <w:szCs w:val="26"/>
        </w:rPr>
        <w:t>годовых назначений, из них за счет безвозмездных поступлений от други</w:t>
      </w:r>
      <w:r w:rsidR="005A2CEF" w:rsidRPr="00882D12">
        <w:rPr>
          <w:sz w:val="26"/>
          <w:szCs w:val="26"/>
        </w:rPr>
        <w:t>х</w:t>
      </w:r>
      <w:r w:rsidRPr="00882D12">
        <w:rPr>
          <w:sz w:val="26"/>
          <w:szCs w:val="26"/>
        </w:rPr>
        <w:t xml:space="preserve"> бюджетов </w:t>
      </w:r>
      <w:r w:rsidR="00A763AD" w:rsidRPr="00882D12">
        <w:rPr>
          <w:sz w:val="26"/>
          <w:szCs w:val="26"/>
        </w:rPr>
        <w:t>43,2</w:t>
      </w:r>
      <w:r w:rsidRPr="00882D12">
        <w:rPr>
          <w:sz w:val="26"/>
          <w:szCs w:val="26"/>
        </w:rPr>
        <w:t xml:space="preserve"> млн рублей.  </w:t>
      </w:r>
    </w:p>
    <w:p w:rsidR="0079781F" w:rsidRPr="00882D12" w:rsidRDefault="0079781F" w:rsidP="00882D1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882D12">
        <w:rPr>
          <w:b/>
          <w:i/>
          <w:sz w:val="26"/>
          <w:szCs w:val="26"/>
        </w:rPr>
        <w:t>Дефицит бюджета</w:t>
      </w:r>
      <w:r w:rsidRPr="00882D12">
        <w:rPr>
          <w:sz w:val="26"/>
          <w:szCs w:val="26"/>
        </w:rPr>
        <w:t xml:space="preserve"> города по итогам первого полугодия 2015 года составил </w:t>
      </w:r>
      <w:r w:rsidRPr="00882D12">
        <w:rPr>
          <w:b/>
          <w:i/>
          <w:sz w:val="26"/>
          <w:szCs w:val="26"/>
        </w:rPr>
        <w:t>341,8</w:t>
      </w:r>
      <w:r w:rsidRPr="00882D12">
        <w:rPr>
          <w:sz w:val="26"/>
          <w:szCs w:val="26"/>
        </w:rPr>
        <w:t xml:space="preserve"> </w:t>
      </w:r>
      <w:proofErr w:type="gramStart"/>
      <w:r w:rsidRPr="00882D12">
        <w:rPr>
          <w:sz w:val="26"/>
          <w:szCs w:val="26"/>
        </w:rPr>
        <w:t>млн</w:t>
      </w:r>
      <w:proofErr w:type="gramEnd"/>
      <w:r w:rsidRPr="00882D12">
        <w:rPr>
          <w:sz w:val="26"/>
          <w:szCs w:val="26"/>
        </w:rPr>
        <w:t xml:space="preserve"> рублей, что составляет 10,9% от утвержденного общего годового объема доходов без учета утвержденного объема безвозмездных поступлений и поступлений налоговых доходов по дополнительным нормативам отчислений, при утвержденных годовых назначениях дефицита 293,4 млн рублей, или 9,4% утвержденного годового объема доходов местного бюджета без учета объема безвозмездных поступлений и (или) поступлений налоговых доходов по дополнительным нормативам отчислений. Сложившийся по итогам первого полугодия дефицит бюджета превышает утвержденные годовые назначения на  48,4 </w:t>
      </w:r>
      <w:proofErr w:type="gramStart"/>
      <w:r w:rsidRPr="00882D12">
        <w:rPr>
          <w:sz w:val="26"/>
          <w:szCs w:val="26"/>
        </w:rPr>
        <w:t>млн</w:t>
      </w:r>
      <w:proofErr w:type="gramEnd"/>
      <w:r w:rsidRPr="00882D12">
        <w:rPr>
          <w:sz w:val="26"/>
          <w:szCs w:val="26"/>
        </w:rPr>
        <w:t xml:space="preserve"> рублей (на 16,5%).</w:t>
      </w:r>
    </w:p>
    <w:p w:rsidR="0079781F" w:rsidRPr="00882D12" w:rsidRDefault="0079781F" w:rsidP="00882D1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882D12">
        <w:rPr>
          <w:sz w:val="26"/>
          <w:szCs w:val="26"/>
        </w:rPr>
        <w:t>Статьей 92.1 Бюджетного кодекса РФ установлен предельный объем дефицита местного бюджета, который не должен превышать 10% утвержденного годового объема доходов местного бюджета без учета объема безвозмездных поступлений и (или) поступлений налоговых доходов по дополнительным нормативам отчислений.</w:t>
      </w:r>
    </w:p>
    <w:p w:rsidR="0079781F" w:rsidRPr="00882D12" w:rsidRDefault="0079781F" w:rsidP="00882D12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882D12">
        <w:rPr>
          <w:sz w:val="26"/>
          <w:szCs w:val="26"/>
        </w:rPr>
        <w:t>Сформировавшийся по итогам первого полугодия 2015 года размер дефицита бюджета (25,1% объема поступлений налоговых и неналоговых доходов без учета поступлений по дополнительным нормативам и 116,5% годовых назначений) вызывает определенную обеспокоенность по поводу соблюдения принципа сбалансированности бюджета города, установленного статьей 33 Бюджетного кодекса РФ, а также соблюдения принципа достоверности бюджета, установленного статьей 37 Бюджетного кодекса РФ.</w:t>
      </w:r>
      <w:proofErr w:type="gramEnd"/>
    </w:p>
    <w:p w:rsidR="0079781F" w:rsidRPr="00882D12" w:rsidRDefault="0079781F" w:rsidP="00882D12">
      <w:pPr>
        <w:spacing w:line="276" w:lineRule="auto"/>
        <w:ind w:firstLine="709"/>
        <w:jc w:val="both"/>
        <w:rPr>
          <w:sz w:val="26"/>
          <w:szCs w:val="26"/>
        </w:rPr>
      </w:pPr>
      <w:r w:rsidRPr="00882D12">
        <w:rPr>
          <w:sz w:val="26"/>
          <w:szCs w:val="26"/>
        </w:rPr>
        <w:t xml:space="preserve">Следует отметить, что превышение по данным годового отчета об исполнении бюджета ограничений, установленных статьей 92.1 Бюджетного кодекса РФ, является нарушением бюджетного законодательства РФ и влечет применение мер принуждения. </w:t>
      </w:r>
    </w:p>
    <w:p w:rsidR="0079781F" w:rsidRPr="00882D12" w:rsidRDefault="0079781F" w:rsidP="00882D12">
      <w:pPr>
        <w:spacing w:line="276" w:lineRule="auto"/>
        <w:ind w:firstLine="709"/>
        <w:jc w:val="both"/>
        <w:rPr>
          <w:sz w:val="26"/>
          <w:szCs w:val="26"/>
        </w:rPr>
      </w:pPr>
      <w:r w:rsidRPr="00882D12">
        <w:rPr>
          <w:sz w:val="26"/>
          <w:szCs w:val="26"/>
        </w:rPr>
        <w:t xml:space="preserve">В </w:t>
      </w:r>
      <w:r w:rsidR="009F39D4" w:rsidRPr="00882D12">
        <w:rPr>
          <w:sz w:val="26"/>
          <w:szCs w:val="26"/>
        </w:rPr>
        <w:t>составе</w:t>
      </w:r>
      <w:r w:rsidRPr="00882D12">
        <w:rPr>
          <w:sz w:val="26"/>
          <w:szCs w:val="26"/>
        </w:rPr>
        <w:t xml:space="preserve"> </w:t>
      </w:r>
      <w:r w:rsidRPr="00882D12">
        <w:rPr>
          <w:b/>
          <w:i/>
          <w:sz w:val="26"/>
          <w:szCs w:val="26"/>
        </w:rPr>
        <w:t>источников финансирования дефицита бюджета</w:t>
      </w:r>
      <w:r w:rsidRPr="00882D12">
        <w:rPr>
          <w:sz w:val="26"/>
          <w:szCs w:val="26"/>
        </w:rPr>
        <w:t xml:space="preserve"> города </w:t>
      </w:r>
      <w:r w:rsidR="008F07D9" w:rsidRPr="00882D12">
        <w:rPr>
          <w:sz w:val="26"/>
          <w:szCs w:val="26"/>
        </w:rPr>
        <w:t xml:space="preserve">отражено </w:t>
      </w:r>
      <w:r w:rsidRPr="00882D12">
        <w:rPr>
          <w:sz w:val="26"/>
          <w:szCs w:val="26"/>
        </w:rPr>
        <w:t>привлечен</w:t>
      </w:r>
      <w:r w:rsidR="008F07D9" w:rsidRPr="00882D12">
        <w:rPr>
          <w:sz w:val="26"/>
          <w:szCs w:val="26"/>
        </w:rPr>
        <w:t>ие</w:t>
      </w:r>
      <w:r w:rsidRPr="00882D12">
        <w:rPr>
          <w:sz w:val="26"/>
          <w:szCs w:val="26"/>
        </w:rPr>
        <w:t xml:space="preserve"> кредит</w:t>
      </w:r>
      <w:r w:rsidR="008F07D9" w:rsidRPr="00882D12">
        <w:rPr>
          <w:sz w:val="26"/>
          <w:szCs w:val="26"/>
        </w:rPr>
        <w:t>ов</w:t>
      </w:r>
      <w:r w:rsidRPr="00882D12">
        <w:rPr>
          <w:sz w:val="26"/>
          <w:szCs w:val="26"/>
        </w:rPr>
        <w:t xml:space="preserve"> от кредитных организаций в объеме 1175,7 </w:t>
      </w:r>
      <w:proofErr w:type="gramStart"/>
      <w:r w:rsidRPr="00882D12">
        <w:rPr>
          <w:sz w:val="26"/>
          <w:szCs w:val="26"/>
        </w:rPr>
        <w:t>млн</w:t>
      </w:r>
      <w:proofErr w:type="gramEnd"/>
      <w:r w:rsidRPr="00882D12">
        <w:rPr>
          <w:sz w:val="26"/>
          <w:szCs w:val="26"/>
        </w:rPr>
        <w:t xml:space="preserve"> рублей</w:t>
      </w:r>
      <w:r w:rsidR="00D64BB2" w:rsidRPr="00882D12">
        <w:rPr>
          <w:sz w:val="26"/>
          <w:szCs w:val="26"/>
        </w:rPr>
        <w:t>,</w:t>
      </w:r>
      <w:r w:rsidR="008F07D9" w:rsidRPr="00882D12">
        <w:rPr>
          <w:sz w:val="26"/>
          <w:szCs w:val="26"/>
        </w:rPr>
        <w:t xml:space="preserve"> бюджетных</w:t>
      </w:r>
      <w:r w:rsidRPr="00882D12">
        <w:rPr>
          <w:sz w:val="26"/>
          <w:szCs w:val="26"/>
        </w:rPr>
        <w:t xml:space="preserve"> кредит</w:t>
      </w:r>
      <w:r w:rsidR="008F07D9" w:rsidRPr="00882D12">
        <w:rPr>
          <w:sz w:val="26"/>
          <w:szCs w:val="26"/>
        </w:rPr>
        <w:t>ов</w:t>
      </w:r>
      <w:r w:rsidRPr="00882D12">
        <w:rPr>
          <w:sz w:val="26"/>
          <w:szCs w:val="26"/>
        </w:rPr>
        <w:t xml:space="preserve"> в размере 740,1 млн рублей</w:t>
      </w:r>
      <w:r w:rsidR="00C27312" w:rsidRPr="00882D12">
        <w:rPr>
          <w:sz w:val="26"/>
          <w:szCs w:val="26"/>
        </w:rPr>
        <w:t xml:space="preserve">, </w:t>
      </w:r>
      <w:r w:rsidRPr="00882D12">
        <w:rPr>
          <w:sz w:val="26"/>
          <w:szCs w:val="26"/>
        </w:rPr>
        <w:t xml:space="preserve">средства бюджетных и автономных учреждений в сумме 66,1 млн рублей. </w:t>
      </w:r>
      <w:r w:rsidR="008D77E0" w:rsidRPr="00882D12">
        <w:rPr>
          <w:sz w:val="26"/>
          <w:szCs w:val="26"/>
        </w:rPr>
        <w:t xml:space="preserve">За 1 полугодие </w:t>
      </w:r>
      <w:proofErr w:type="spellStart"/>
      <w:r w:rsidR="008D77E0" w:rsidRPr="00882D12">
        <w:rPr>
          <w:sz w:val="26"/>
          <w:szCs w:val="26"/>
        </w:rPr>
        <w:t>т.г</w:t>
      </w:r>
      <w:proofErr w:type="spellEnd"/>
      <w:r w:rsidR="008D77E0" w:rsidRPr="00882D12">
        <w:rPr>
          <w:sz w:val="26"/>
          <w:szCs w:val="26"/>
        </w:rPr>
        <w:t xml:space="preserve">. погашено 1265,7 </w:t>
      </w:r>
      <w:proofErr w:type="gramStart"/>
      <w:r w:rsidR="008D77E0" w:rsidRPr="00882D12">
        <w:rPr>
          <w:sz w:val="26"/>
          <w:szCs w:val="26"/>
        </w:rPr>
        <w:t>млн</w:t>
      </w:r>
      <w:proofErr w:type="gramEnd"/>
      <w:r w:rsidR="008D77E0" w:rsidRPr="00882D12">
        <w:rPr>
          <w:sz w:val="26"/>
          <w:szCs w:val="26"/>
        </w:rPr>
        <w:t xml:space="preserve"> рублей кредитов кредитных организаций, 479,3 млн рублей бюджетных кредитов.</w:t>
      </w:r>
    </w:p>
    <w:p w:rsidR="008D77E0" w:rsidRPr="00882D12" w:rsidRDefault="008D77E0" w:rsidP="00882D12">
      <w:pPr>
        <w:spacing w:line="276" w:lineRule="auto"/>
        <w:ind w:firstLine="709"/>
        <w:jc w:val="both"/>
        <w:rPr>
          <w:sz w:val="26"/>
          <w:szCs w:val="26"/>
        </w:rPr>
      </w:pPr>
      <w:r w:rsidRPr="00882D12">
        <w:rPr>
          <w:sz w:val="26"/>
          <w:szCs w:val="26"/>
        </w:rPr>
        <w:lastRenderedPageBreak/>
        <w:t xml:space="preserve">Программой муниципальных внутренних заимствований на 2015 год предусмотрено привлечение средств кредитных организаций в сумме 965,2 </w:t>
      </w:r>
      <w:proofErr w:type="gramStart"/>
      <w:r w:rsidRPr="00882D12">
        <w:rPr>
          <w:sz w:val="26"/>
          <w:szCs w:val="26"/>
        </w:rPr>
        <w:t>млн</w:t>
      </w:r>
      <w:proofErr w:type="gramEnd"/>
      <w:r w:rsidRPr="00882D12">
        <w:rPr>
          <w:sz w:val="26"/>
          <w:szCs w:val="26"/>
        </w:rPr>
        <w:t xml:space="preserve"> рублей, бюджетных кредитов </w:t>
      </w:r>
      <w:r w:rsidR="008F4C5E" w:rsidRPr="00882D12">
        <w:rPr>
          <w:sz w:val="26"/>
          <w:szCs w:val="26"/>
        </w:rPr>
        <w:t>–</w:t>
      </w:r>
      <w:r w:rsidRPr="00882D12">
        <w:rPr>
          <w:sz w:val="26"/>
          <w:szCs w:val="26"/>
        </w:rPr>
        <w:t xml:space="preserve"> 260,8 млн рублей, погашение основной суммы задолженности в сумме 1000,0 млн рублей и 260,8 млн рублей соответственно.</w:t>
      </w:r>
    </w:p>
    <w:p w:rsidR="00105CFC" w:rsidRPr="00882D12" w:rsidRDefault="001142F5" w:rsidP="00882D12">
      <w:pPr>
        <w:spacing w:line="276" w:lineRule="auto"/>
        <w:ind w:firstLine="709"/>
        <w:jc w:val="both"/>
        <w:rPr>
          <w:sz w:val="26"/>
          <w:szCs w:val="26"/>
        </w:rPr>
      </w:pPr>
      <w:r w:rsidRPr="00882D12">
        <w:rPr>
          <w:sz w:val="26"/>
          <w:szCs w:val="26"/>
        </w:rPr>
        <w:t>В течение</w:t>
      </w:r>
      <w:r w:rsidR="008D77E0" w:rsidRPr="00882D12">
        <w:rPr>
          <w:sz w:val="26"/>
          <w:szCs w:val="26"/>
        </w:rPr>
        <w:t xml:space="preserve"> 1 полугоди</w:t>
      </w:r>
      <w:r w:rsidRPr="00882D12">
        <w:rPr>
          <w:sz w:val="26"/>
          <w:szCs w:val="26"/>
        </w:rPr>
        <w:t>я</w:t>
      </w:r>
      <w:r w:rsidR="008D77E0" w:rsidRPr="00882D12">
        <w:rPr>
          <w:sz w:val="26"/>
          <w:szCs w:val="26"/>
        </w:rPr>
        <w:t xml:space="preserve"> </w:t>
      </w:r>
      <w:proofErr w:type="spellStart"/>
      <w:r w:rsidR="008D77E0" w:rsidRPr="00882D12">
        <w:rPr>
          <w:sz w:val="26"/>
          <w:szCs w:val="26"/>
        </w:rPr>
        <w:t>т.г</w:t>
      </w:r>
      <w:proofErr w:type="spellEnd"/>
      <w:r w:rsidR="008D77E0" w:rsidRPr="00882D12">
        <w:rPr>
          <w:sz w:val="26"/>
          <w:szCs w:val="26"/>
        </w:rPr>
        <w:t>. п</w:t>
      </w:r>
      <w:r w:rsidR="00105CFC" w:rsidRPr="00882D12">
        <w:rPr>
          <w:sz w:val="26"/>
          <w:szCs w:val="26"/>
        </w:rPr>
        <w:t xml:space="preserve">ривлечение </w:t>
      </w:r>
      <w:r w:rsidR="008D77E0" w:rsidRPr="00882D12">
        <w:rPr>
          <w:sz w:val="26"/>
          <w:szCs w:val="26"/>
        </w:rPr>
        <w:t>средств</w:t>
      </w:r>
      <w:r w:rsidR="00105CFC" w:rsidRPr="00882D12">
        <w:rPr>
          <w:sz w:val="26"/>
          <w:szCs w:val="26"/>
        </w:rPr>
        <w:t xml:space="preserve"> кредитных организаций </w:t>
      </w:r>
      <w:r w:rsidR="008D77E0" w:rsidRPr="00882D12">
        <w:rPr>
          <w:sz w:val="26"/>
          <w:szCs w:val="26"/>
        </w:rPr>
        <w:t>осуществлялось</w:t>
      </w:r>
      <w:r w:rsidR="00105CFC" w:rsidRPr="00882D12">
        <w:rPr>
          <w:sz w:val="26"/>
          <w:szCs w:val="26"/>
        </w:rPr>
        <w:t xml:space="preserve"> в рамках заключенных в 2015 году муниципальных контрактов с объемо</w:t>
      </w:r>
      <w:r w:rsidR="00A06821" w:rsidRPr="00882D12">
        <w:rPr>
          <w:sz w:val="26"/>
          <w:szCs w:val="26"/>
        </w:rPr>
        <w:t>м</w:t>
      </w:r>
      <w:r w:rsidR="00105CFC" w:rsidRPr="00882D12">
        <w:rPr>
          <w:sz w:val="26"/>
          <w:szCs w:val="26"/>
        </w:rPr>
        <w:t xml:space="preserve"> кредитования </w:t>
      </w:r>
      <w:r w:rsidR="00A06821" w:rsidRPr="00882D12">
        <w:rPr>
          <w:sz w:val="26"/>
          <w:szCs w:val="26"/>
        </w:rPr>
        <w:t>7</w:t>
      </w:r>
      <w:r w:rsidR="00105CFC" w:rsidRPr="00882D12">
        <w:rPr>
          <w:sz w:val="26"/>
          <w:szCs w:val="26"/>
        </w:rPr>
        <w:t xml:space="preserve">00,0 </w:t>
      </w:r>
      <w:proofErr w:type="gramStart"/>
      <w:r w:rsidR="00105CFC" w:rsidRPr="00882D12">
        <w:rPr>
          <w:sz w:val="26"/>
          <w:szCs w:val="26"/>
        </w:rPr>
        <w:t>млн</w:t>
      </w:r>
      <w:proofErr w:type="gramEnd"/>
      <w:r w:rsidR="00105CFC" w:rsidRPr="00882D12">
        <w:rPr>
          <w:sz w:val="26"/>
          <w:szCs w:val="26"/>
        </w:rPr>
        <w:t xml:space="preserve"> рублей, а также муниципального контракта</w:t>
      </w:r>
      <w:r w:rsidR="00A06821" w:rsidRPr="00882D12">
        <w:rPr>
          <w:sz w:val="26"/>
          <w:szCs w:val="26"/>
        </w:rPr>
        <w:t xml:space="preserve"> по открытию возобновляемой кредитной линии с лимитом задолженности в размере 300,0 млн. рублей, заключенного в 2014 году, объем поступления по которому за 1 полугодие </w:t>
      </w:r>
      <w:proofErr w:type="spellStart"/>
      <w:r w:rsidR="00A06821" w:rsidRPr="00882D12">
        <w:rPr>
          <w:sz w:val="26"/>
          <w:szCs w:val="26"/>
        </w:rPr>
        <w:t>т.г</w:t>
      </w:r>
      <w:proofErr w:type="spellEnd"/>
      <w:r w:rsidR="00A06821" w:rsidRPr="00882D12">
        <w:rPr>
          <w:sz w:val="26"/>
          <w:szCs w:val="26"/>
        </w:rPr>
        <w:t>. составил 475,7 млн рублей</w:t>
      </w:r>
      <w:r w:rsidRPr="00882D12">
        <w:rPr>
          <w:sz w:val="26"/>
          <w:szCs w:val="26"/>
        </w:rPr>
        <w:t xml:space="preserve">, гашение 625,7 </w:t>
      </w:r>
      <w:proofErr w:type="gramStart"/>
      <w:r w:rsidRPr="00882D12">
        <w:rPr>
          <w:sz w:val="26"/>
          <w:szCs w:val="26"/>
        </w:rPr>
        <w:t>млн</w:t>
      </w:r>
      <w:proofErr w:type="gramEnd"/>
      <w:r w:rsidRPr="00882D12">
        <w:rPr>
          <w:sz w:val="26"/>
          <w:szCs w:val="26"/>
        </w:rPr>
        <w:t xml:space="preserve"> рублей</w:t>
      </w:r>
      <w:r w:rsidR="00A06821" w:rsidRPr="00882D12">
        <w:rPr>
          <w:sz w:val="26"/>
          <w:szCs w:val="26"/>
        </w:rPr>
        <w:t xml:space="preserve">. Бюджетный кредит на пополнение остатков средств на счете местного бюджета с лимитом </w:t>
      </w:r>
      <w:r w:rsidR="00D64BB2" w:rsidRPr="00882D12">
        <w:rPr>
          <w:sz w:val="26"/>
          <w:szCs w:val="26"/>
        </w:rPr>
        <w:t xml:space="preserve">на кредитные средства в объеме 260,8 </w:t>
      </w:r>
      <w:proofErr w:type="gramStart"/>
      <w:r w:rsidR="00D64BB2" w:rsidRPr="00882D12">
        <w:rPr>
          <w:sz w:val="26"/>
          <w:szCs w:val="26"/>
        </w:rPr>
        <w:t>млн</w:t>
      </w:r>
      <w:proofErr w:type="gramEnd"/>
      <w:r w:rsidR="00D64BB2" w:rsidRPr="00882D12">
        <w:rPr>
          <w:sz w:val="26"/>
          <w:szCs w:val="26"/>
        </w:rPr>
        <w:t xml:space="preserve"> рублей привлекался в течение 1 полугодия </w:t>
      </w:r>
      <w:proofErr w:type="spellStart"/>
      <w:r w:rsidR="00D64BB2" w:rsidRPr="00882D12">
        <w:rPr>
          <w:sz w:val="26"/>
          <w:szCs w:val="26"/>
        </w:rPr>
        <w:t>т.г</w:t>
      </w:r>
      <w:proofErr w:type="spellEnd"/>
      <w:r w:rsidR="00D64BB2" w:rsidRPr="00882D12">
        <w:rPr>
          <w:sz w:val="26"/>
          <w:szCs w:val="26"/>
        </w:rPr>
        <w:t>. трижды, поступления составили 740,1 млн рублей</w:t>
      </w:r>
      <w:r w:rsidRPr="00882D12">
        <w:rPr>
          <w:sz w:val="26"/>
          <w:szCs w:val="26"/>
        </w:rPr>
        <w:t>, гашение – 479,3 млн рублей</w:t>
      </w:r>
      <w:r w:rsidR="00C7689D">
        <w:rPr>
          <w:sz w:val="26"/>
          <w:szCs w:val="26"/>
        </w:rPr>
        <w:t>.</w:t>
      </w:r>
    </w:p>
    <w:p w:rsidR="0079781F" w:rsidRPr="00882D12" w:rsidRDefault="0079781F" w:rsidP="00882D12">
      <w:pPr>
        <w:spacing w:line="276" w:lineRule="auto"/>
        <w:ind w:firstLine="709"/>
        <w:jc w:val="both"/>
        <w:rPr>
          <w:sz w:val="26"/>
          <w:szCs w:val="26"/>
        </w:rPr>
      </w:pPr>
      <w:r w:rsidRPr="00882D12">
        <w:rPr>
          <w:sz w:val="26"/>
          <w:szCs w:val="26"/>
        </w:rPr>
        <w:t>Остаток средств на счете бюджета города уменьшился</w:t>
      </w:r>
      <w:r w:rsidR="006B51D9" w:rsidRPr="00882D12">
        <w:rPr>
          <w:sz w:val="26"/>
          <w:szCs w:val="26"/>
        </w:rPr>
        <w:t xml:space="preserve"> по сравнению с началом года</w:t>
      </w:r>
      <w:r w:rsidRPr="00882D12">
        <w:rPr>
          <w:sz w:val="26"/>
          <w:szCs w:val="26"/>
        </w:rPr>
        <w:t xml:space="preserve"> на 105,0 млн рублей и на 01.07.2015 составил 26,0 млн рублей, в том числе за счет средств </w:t>
      </w:r>
      <w:proofErr w:type="gramStart"/>
      <w:r w:rsidRPr="00882D12">
        <w:rPr>
          <w:sz w:val="26"/>
          <w:szCs w:val="26"/>
        </w:rPr>
        <w:t>муниципальных автономных</w:t>
      </w:r>
      <w:proofErr w:type="gramEnd"/>
      <w:r w:rsidRPr="00882D12">
        <w:rPr>
          <w:sz w:val="26"/>
          <w:szCs w:val="26"/>
        </w:rPr>
        <w:t xml:space="preserve"> и бюджетных учреждений.</w:t>
      </w:r>
    </w:p>
    <w:p w:rsidR="0079781F" w:rsidRPr="00882D12" w:rsidRDefault="0079781F" w:rsidP="00882D12">
      <w:pPr>
        <w:spacing w:line="276" w:lineRule="auto"/>
        <w:ind w:firstLine="709"/>
        <w:jc w:val="both"/>
        <w:rPr>
          <w:sz w:val="26"/>
          <w:szCs w:val="26"/>
        </w:rPr>
      </w:pPr>
      <w:r w:rsidRPr="00882D12">
        <w:rPr>
          <w:b/>
          <w:i/>
          <w:sz w:val="26"/>
          <w:szCs w:val="26"/>
        </w:rPr>
        <w:t>Муниципальный долг</w:t>
      </w:r>
      <w:r w:rsidRPr="00882D12">
        <w:rPr>
          <w:sz w:val="26"/>
          <w:szCs w:val="26"/>
        </w:rPr>
        <w:t xml:space="preserve"> увеличился за </w:t>
      </w:r>
      <w:r w:rsidR="006D28FD" w:rsidRPr="00882D12">
        <w:rPr>
          <w:sz w:val="26"/>
          <w:szCs w:val="26"/>
        </w:rPr>
        <w:t>первое</w:t>
      </w:r>
      <w:r w:rsidRPr="00882D12">
        <w:rPr>
          <w:sz w:val="26"/>
          <w:szCs w:val="26"/>
        </w:rPr>
        <w:t xml:space="preserve"> полугодие на 60,0 </w:t>
      </w:r>
      <w:proofErr w:type="gramStart"/>
      <w:r w:rsidRPr="00882D12">
        <w:rPr>
          <w:sz w:val="26"/>
          <w:szCs w:val="26"/>
        </w:rPr>
        <w:t>млн</w:t>
      </w:r>
      <w:proofErr w:type="gramEnd"/>
      <w:r w:rsidRPr="00882D12">
        <w:rPr>
          <w:sz w:val="26"/>
          <w:szCs w:val="26"/>
        </w:rPr>
        <w:t xml:space="preserve"> рублей и по состоянию на 01.07.2015 составил </w:t>
      </w:r>
      <w:r w:rsidRPr="00882D12">
        <w:rPr>
          <w:b/>
          <w:i/>
          <w:sz w:val="26"/>
          <w:szCs w:val="26"/>
        </w:rPr>
        <w:t>2001,9</w:t>
      </w:r>
      <w:r w:rsidRPr="00882D12">
        <w:rPr>
          <w:sz w:val="26"/>
          <w:szCs w:val="26"/>
        </w:rPr>
        <w:t xml:space="preserve"> млн рублей, в сравнении с аналогичной датой предыдущего года уменьшился на 166,7 млн рублей (на 7,7%). Муниципальный долг состоит из задолженности по кредитам от кредитных организаций в сумме 1150,0 </w:t>
      </w:r>
      <w:proofErr w:type="gramStart"/>
      <w:r w:rsidRPr="00882D12">
        <w:rPr>
          <w:sz w:val="26"/>
          <w:szCs w:val="26"/>
        </w:rPr>
        <w:t>млн</w:t>
      </w:r>
      <w:proofErr w:type="gramEnd"/>
      <w:r w:rsidRPr="00882D12">
        <w:rPr>
          <w:sz w:val="26"/>
          <w:szCs w:val="26"/>
        </w:rPr>
        <w:t xml:space="preserve"> рублей</w:t>
      </w:r>
      <w:r w:rsidR="008D77E0" w:rsidRPr="00882D12">
        <w:rPr>
          <w:sz w:val="26"/>
          <w:szCs w:val="26"/>
        </w:rPr>
        <w:t xml:space="preserve"> (в том числе 150,0 млн рублей по возобновляемой кредитной линии)</w:t>
      </w:r>
      <w:r w:rsidRPr="00882D12">
        <w:rPr>
          <w:sz w:val="26"/>
          <w:szCs w:val="26"/>
        </w:rPr>
        <w:t xml:space="preserve">, которая уменьшилась с начала года на 90,0 млн рублей, по бюджетным кредитам в сумме 260,8 млн рублей, увеличилась за полугодие на 260,8 млн рублей, и обязательств по муниципальным гарантиям в объеме 591,1 млн рублей, которые сократились за 6 месяцев на 110,8 </w:t>
      </w:r>
      <w:proofErr w:type="gramStart"/>
      <w:r w:rsidRPr="00882D12">
        <w:rPr>
          <w:sz w:val="26"/>
          <w:szCs w:val="26"/>
        </w:rPr>
        <w:t>млн</w:t>
      </w:r>
      <w:proofErr w:type="gramEnd"/>
      <w:r w:rsidRPr="00882D12">
        <w:rPr>
          <w:sz w:val="26"/>
          <w:szCs w:val="26"/>
        </w:rPr>
        <w:t xml:space="preserve"> рублей. </w:t>
      </w:r>
    </w:p>
    <w:p w:rsidR="0079781F" w:rsidRPr="00882D12" w:rsidRDefault="0079781F" w:rsidP="00882D12">
      <w:pPr>
        <w:spacing w:line="276" w:lineRule="auto"/>
        <w:ind w:firstLine="709"/>
        <w:jc w:val="both"/>
        <w:rPr>
          <w:sz w:val="26"/>
          <w:szCs w:val="26"/>
        </w:rPr>
      </w:pPr>
      <w:r w:rsidRPr="00882D12">
        <w:rPr>
          <w:sz w:val="26"/>
          <w:szCs w:val="26"/>
        </w:rPr>
        <w:t xml:space="preserve">Расходы по обслуживанию долговых обязательств за </w:t>
      </w:r>
      <w:r w:rsidR="006D28FD" w:rsidRPr="00882D12">
        <w:rPr>
          <w:sz w:val="26"/>
          <w:szCs w:val="26"/>
        </w:rPr>
        <w:t>первое</w:t>
      </w:r>
      <w:r w:rsidRPr="00882D12">
        <w:rPr>
          <w:sz w:val="26"/>
          <w:szCs w:val="26"/>
        </w:rPr>
        <w:t xml:space="preserve"> полугодие </w:t>
      </w:r>
      <w:proofErr w:type="spellStart"/>
      <w:r w:rsidRPr="00882D12">
        <w:rPr>
          <w:sz w:val="26"/>
          <w:szCs w:val="26"/>
        </w:rPr>
        <w:t>т.г</w:t>
      </w:r>
      <w:proofErr w:type="spellEnd"/>
      <w:r w:rsidRPr="00882D12">
        <w:rPr>
          <w:sz w:val="26"/>
          <w:szCs w:val="26"/>
        </w:rPr>
        <w:t xml:space="preserve">. составили 82,6 </w:t>
      </w:r>
      <w:proofErr w:type="gramStart"/>
      <w:r w:rsidRPr="00882D12">
        <w:rPr>
          <w:sz w:val="26"/>
          <w:szCs w:val="26"/>
        </w:rPr>
        <w:t>млн</w:t>
      </w:r>
      <w:proofErr w:type="gramEnd"/>
      <w:r w:rsidRPr="00882D12">
        <w:rPr>
          <w:sz w:val="26"/>
          <w:szCs w:val="26"/>
        </w:rPr>
        <w:t xml:space="preserve"> рублей, или 56,4% от утвержденных годовых назначений. </w:t>
      </w:r>
    </w:p>
    <w:p w:rsidR="00D049E0" w:rsidRPr="00882D12" w:rsidRDefault="00043428" w:rsidP="00882D12">
      <w:pPr>
        <w:spacing w:line="276" w:lineRule="auto"/>
        <w:ind w:firstLine="709"/>
        <w:jc w:val="both"/>
        <w:rPr>
          <w:sz w:val="26"/>
          <w:szCs w:val="26"/>
        </w:rPr>
      </w:pPr>
      <w:r w:rsidRPr="00882D12">
        <w:rPr>
          <w:sz w:val="26"/>
          <w:szCs w:val="26"/>
        </w:rPr>
        <w:t>Согласно оперативным данным</w:t>
      </w:r>
      <w:r w:rsidRPr="00882D12">
        <w:rPr>
          <w:i/>
          <w:sz w:val="26"/>
          <w:szCs w:val="26"/>
        </w:rPr>
        <w:t xml:space="preserve"> </w:t>
      </w:r>
      <w:r w:rsidRPr="00882D12">
        <w:rPr>
          <w:b/>
          <w:i/>
          <w:sz w:val="26"/>
          <w:szCs w:val="26"/>
        </w:rPr>
        <w:t>к</w:t>
      </w:r>
      <w:r w:rsidR="00624026" w:rsidRPr="00882D12">
        <w:rPr>
          <w:b/>
          <w:i/>
          <w:sz w:val="26"/>
          <w:szCs w:val="26"/>
        </w:rPr>
        <w:t>редиторская задолженность</w:t>
      </w:r>
      <w:r w:rsidR="00624026" w:rsidRPr="00882D12">
        <w:rPr>
          <w:sz w:val="26"/>
          <w:szCs w:val="26"/>
        </w:rPr>
        <w:t xml:space="preserve"> </w:t>
      </w:r>
      <w:r w:rsidR="00E02A42" w:rsidRPr="00882D12">
        <w:rPr>
          <w:sz w:val="26"/>
          <w:szCs w:val="26"/>
        </w:rPr>
        <w:t>по состоянию</w:t>
      </w:r>
      <w:r w:rsidR="00594692" w:rsidRPr="00882D12">
        <w:rPr>
          <w:sz w:val="26"/>
          <w:szCs w:val="26"/>
        </w:rPr>
        <w:t xml:space="preserve"> </w:t>
      </w:r>
      <w:r w:rsidR="00624026" w:rsidRPr="00882D12">
        <w:rPr>
          <w:sz w:val="26"/>
          <w:szCs w:val="26"/>
        </w:rPr>
        <w:t>на 01.</w:t>
      </w:r>
      <w:r w:rsidR="00E13EA8" w:rsidRPr="00882D12">
        <w:rPr>
          <w:sz w:val="26"/>
          <w:szCs w:val="26"/>
        </w:rPr>
        <w:t>0</w:t>
      </w:r>
      <w:r w:rsidR="009A311A" w:rsidRPr="00882D12">
        <w:rPr>
          <w:sz w:val="26"/>
          <w:szCs w:val="26"/>
        </w:rPr>
        <w:t>7</w:t>
      </w:r>
      <w:r w:rsidR="00624026" w:rsidRPr="00882D12">
        <w:rPr>
          <w:sz w:val="26"/>
          <w:szCs w:val="26"/>
        </w:rPr>
        <w:t>.201</w:t>
      </w:r>
      <w:r w:rsidR="00E13EA8" w:rsidRPr="00882D12">
        <w:rPr>
          <w:sz w:val="26"/>
          <w:szCs w:val="26"/>
        </w:rPr>
        <w:t>5</w:t>
      </w:r>
      <w:r w:rsidR="00624026" w:rsidRPr="00882D12">
        <w:rPr>
          <w:sz w:val="26"/>
          <w:szCs w:val="26"/>
        </w:rPr>
        <w:t xml:space="preserve"> составила </w:t>
      </w:r>
      <w:r w:rsidR="00176467" w:rsidRPr="00882D12">
        <w:rPr>
          <w:sz w:val="26"/>
          <w:szCs w:val="26"/>
        </w:rPr>
        <w:t>742,6</w:t>
      </w:r>
      <w:r w:rsidR="00624026" w:rsidRPr="00882D12">
        <w:rPr>
          <w:sz w:val="26"/>
          <w:szCs w:val="26"/>
        </w:rPr>
        <w:t xml:space="preserve"> </w:t>
      </w:r>
      <w:proofErr w:type="gramStart"/>
      <w:r w:rsidR="00624026" w:rsidRPr="00882D12">
        <w:rPr>
          <w:sz w:val="26"/>
          <w:szCs w:val="26"/>
        </w:rPr>
        <w:t>млн</w:t>
      </w:r>
      <w:proofErr w:type="gramEnd"/>
      <w:r w:rsidR="00624026" w:rsidRPr="00882D12">
        <w:rPr>
          <w:sz w:val="26"/>
          <w:szCs w:val="26"/>
        </w:rPr>
        <w:t xml:space="preserve"> рублей</w:t>
      </w:r>
      <w:r w:rsidR="00D049E0" w:rsidRPr="00882D12">
        <w:rPr>
          <w:sz w:val="26"/>
          <w:szCs w:val="26"/>
        </w:rPr>
        <w:t xml:space="preserve"> (на 01.</w:t>
      </w:r>
      <w:r w:rsidR="00E13EA8" w:rsidRPr="00882D12">
        <w:rPr>
          <w:sz w:val="26"/>
          <w:szCs w:val="26"/>
        </w:rPr>
        <w:t>0</w:t>
      </w:r>
      <w:r w:rsidR="002350A4" w:rsidRPr="00882D12">
        <w:rPr>
          <w:sz w:val="26"/>
          <w:szCs w:val="26"/>
        </w:rPr>
        <w:t>7</w:t>
      </w:r>
      <w:r w:rsidR="00D049E0" w:rsidRPr="00882D12">
        <w:rPr>
          <w:sz w:val="26"/>
          <w:szCs w:val="26"/>
        </w:rPr>
        <w:t>.201</w:t>
      </w:r>
      <w:r w:rsidR="00E13EA8" w:rsidRPr="00882D12">
        <w:rPr>
          <w:sz w:val="26"/>
          <w:szCs w:val="26"/>
        </w:rPr>
        <w:t>4</w:t>
      </w:r>
      <w:r w:rsidR="00D049E0" w:rsidRPr="00882D12">
        <w:rPr>
          <w:sz w:val="26"/>
          <w:szCs w:val="26"/>
        </w:rPr>
        <w:t xml:space="preserve"> – </w:t>
      </w:r>
      <w:r w:rsidR="00E13EA8" w:rsidRPr="00882D12">
        <w:rPr>
          <w:sz w:val="26"/>
          <w:szCs w:val="26"/>
        </w:rPr>
        <w:t>11</w:t>
      </w:r>
      <w:r w:rsidR="002350A4" w:rsidRPr="00882D12">
        <w:rPr>
          <w:sz w:val="26"/>
          <w:szCs w:val="26"/>
        </w:rPr>
        <w:t>01</w:t>
      </w:r>
      <w:r w:rsidR="00E13EA8" w:rsidRPr="00882D12">
        <w:rPr>
          <w:sz w:val="26"/>
          <w:szCs w:val="26"/>
        </w:rPr>
        <w:t>,</w:t>
      </w:r>
      <w:r w:rsidR="002350A4" w:rsidRPr="00882D12">
        <w:rPr>
          <w:sz w:val="26"/>
          <w:szCs w:val="26"/>
        </w:rPr>
        <w:t>7</w:t>
      </w:r>
      <w:r w:rsidR="00D049E0" w:rsidRPr="00882D12">
        <w:rPr>
          <w:sz w:val="26"/>
          <w:szCs w:val="26"/>
        </w:rPr>
        <w:t xml:space="preserve"> млн рублей)</w:t>
      </w:r>
      <w:r w:rsidR="00624026" w:rsidRPr="00882D12">
        <w:rPr>
          <w:sz w:val="26"/>
          <w:szCs w:val="26"/>
        </w:rPr>
        <w:t xml:space="preserve">, </w:t>
      </w:r>
      <w:r w:rsidR="00167562" w:rsidRPr="00882D12">
        <w:rPr>
          <w:sz w:val="26"/>
          <w:szCs w:val="26"/>
        </w:rPr>
        <w:t>сократилась</w:t>
      </w:r>
      <w:r w:rsidR="00624026" w:rsidRPr="00882D12">
        <w:rPr>
          <w:sz w:val="26"/>
          <w:szCs w:val="26"/>
        </w:rPr>
        <w:t xml:space="preserve"> за </w:t>
      </w:r>
      <w:r w:rsidR="002350A4" w:rsidRPr="00882D12">
        <w:rPr>
          <w:sz w:val="26"/>
          <w:szCs w:val="26"/>
        </w:rPr>
        <w:t>полугодие</w:t>
      </w:r>
      <w:r w:rsidR="00624026" w:rsidRPr="00882D12">
        <w:rPr>
          <w:sz w:val="26"/>
          <w:szCs w:val="26"/>
        </w:rPr>
        <w:t xml:space="preserve"> на </w:t>
      </w:r>
      <w:r w:rsidR="002350A4" w:rsidRPr="00882D12">
        <w:rPr>
          <w:sz w:val="26"/>
          <w:szCs w:val="26"/>
        </w:rPr>
        <w:t>310,1</w:t>
      </w:r>
      <w:r w:rsidR="006C59AF" w:rsidRPr="00882D12">
        <w:rPr>
          <w:sz w:val="26"/>
          <w:szCs w:val="26"/>
        </w:rPr>
        <w:t xml:space="preserve"> млн рублей (на </w:t>
      </w:r>
      <w:r w:rsidR="002350A4" w:rsidRPr="00882D12">
        <w:rPr>
          <w:sz w:val="26"/>
          <w:szCs w:val="26"/>
        </w:rPr>
        <w:t>29,5</w:t>
      </w:r>
      <w:r w:rsidR="006C59AF" w:rsidRPr="00882D12">
        <w:rPr>
          <w:sz w:val="26"/>
          <w:szCs w:val="26"/>
        </w:rPr>
        <w:t>%).</w:t>
      </w:r>
      <w:r w:rsidR="00A47FEC" w:rsidRPr="00882D12">
        <w:rPr>
          <w:sz w:val="26"/>
          <w:szCs w:val="26"/>
        </w:rPr>
        <w:t xml:space="preserve"> Основную долю </w:t>
      </w:r>
      <w:r w:rsidR="00E31D9E" w:rsidRPr="00882D12">
        <w:rPr>
          <w:sz w:val="26"/>
          <w:szCs w:val="26"/>
        </w:rPr>
        <w:t>(</w:t>
      </w:r>
      <w:r w:rsidR="002350A4" w:rsidRPr="00882D12">
        <w:rPr>
          <w:sz w:val="26"/>
          <w:szCs w:val="26"/>
        </w:rPr>
        <w:t>88,8</w:t>
      </w:r>
      <w:r w:rsidR="00E31D9E" w:rsidRPr="00882D12">
        <w:rPr>
          <w:sz w:val="26"/>
          <w:szCs w:val="26"/>
        </w:rPr>
        <w:t xml:space="preserve">%) </w:t>
      </w:r>
      <w:r w:rsidR="00A47FEC" w:rsidRPr="00882D12">
        <w:rPr>
          <w:sz w:val="26"/>
          <w:szCs w:val="26"/>
        </w:rPr>
        <w:t xml:space="preserve">составляют долги по капитальному строительству и жилищно-коммунальному хозяйству </w:t>
      </w:r>
      <w:r w:rsidR="00D049E0" w:rsidRPr="00882D12">
        <w:rPr>
          <w:sz w:val="26"/>
          <w:szCs w:val="26"/>
        </w:rPr>
        <w:t xml:space="preserve">– </w:t>
      </w:r>
      <w:r w:rsidR="002350A4" w:rsidRPr="00882D12">
        <w:rPr>
          <w:sz w:val="26"/>
          <w:szCs w:val="26"/>
        </w:rPr>
        <w:t>659,1</w:t>
      </w:r>
      <w:r w:rsidR="00A47FEC" w:rsidRPr="00882D12">
        <w:rPr>
          <w:sz w:val="26"/>
          <w:szCs w:val="26"/>
        </w:rPr>
        <w:t xml:space="preserve"> </w:t>
      </w:r>
      <w:proofErr w:type="gramStart"/>
      <w:r w:rsidR="00A47FEC" w:rsidRPr="00882D12">
        <w:rPr>
          <w:sz w:val="26"/>
          <w:szCs w:val="26"/>
        </w:rPr>
        <w:t>млн</w:t>
      </w:r>
      <w:proofErr w:type="gramEnd"/>
      <w:r w:rsidR="00A47FEC" w:rsidRPr="00882D12">
        <w:rPr>
          <w:sz w:val="26"/>
          <w:szCs w:val="26"/>
        </w:rPr>
        <w:t xml:space="preserve"> рублей</w:t>
      </w:r>
      <w:r w:rsidR="00F26047" w:rsidRPr="00882D12">
        <w:rPr>
          <w:sz w:val="26"/>
          <w:szCs w:val="26"/>
        </w:rPr>
        <w:t>,</w:t>
      </w:r>
      <w:r w:rsidR="00167562" w:rsidRPr="00882D12">
        <w:rPr>
          <w:sz w:val="26"/>
          <w:szCs w:val="26"/>
        </w:rPr>
        <w:t xml:space="preserve"> </w:t>
      </w:r>
      <w:r w:rsidR="00F26047" w:rsidRPr="00882D12">
        <w:rPr>
          <w:sz w:val="26"/>
          <w:szCs w:val="26"/>
        </w:rPr>
        <w:t xml:space="preserve">которые </w:t>
      </w:r>
      <w:r w:rsidR="009F1474" w:rsidRPr="00882D12">
        <w:rPr>
          <w:sz w:val="26"/>
          <w:szCs w:val="26"/>
        </w:rPr>
        <w:t>сократились</w:t>
      </w:r>
      <w:r w:rsidR="00167562" w:rsidRPr="00882D12">
        <w:rPr>
          <w:sz w:val="26"/>
          <w:szCs w:val="26"/>
        </w:rPr>
        <w:t xml:space="preserve"> за </w:t>
      </w:r>
      <w:r w:rsidR="00E02A42" w:rsidRPr="00882D12">
        <w:rPr>
          <w:sz w:val="26"/>
          <w:szCs w:val="26"/>
        </w:rPr>
        <w:t>отчетный период</w:t>
      </w:r>
      <w:r w:rsidR="00167562" w:rsidRPr="00882D12">
        <w:rPr>
          <w:sz w:val="26"/>
          <w:szCs w:val="26"/>
        </w:rPr>
        <w:t xml:space="preserve"> на </w:t>
      </w:r>
      <w:r w:rsidR="002350A4" w:rsidRPr="00882D12">
        <w:rPr>
          <w:sz w:val="26"/>
          <w:szCs w:val="26"/>
        </w:rPr>
        <w:t>30</w:t>
      </w:r>
      <w:r w:rsidR="00505D7E" w:rsidRPr="00882D12">
        <w:rPr>
          <w:sz w:val="26"/>
          <w:szCs w:val="26"/>
        </w:rPr>
        <w:t>1,</w:t>
      </w:r>
      <w:r w:rsidR="002350A4" w:rsidRPr="00882D12">
        <w:rPr>
          <w:sz w:val="26"/>
          <w:szCs w:val="26"/>
        </w:rPr>
        <w:t>0</w:t>
      </w:r>
      <w:r w:rsidR="00167562" w:rsidRPr="00882D12">
        <w:rPr>
          <w:sz w:val="26"/>
          <w:szCs w:val="26"/>
        </w:rPr>
        <w:t xml:space="preserve"> млн рублей.</w:t>
      </w:r>
      <w:r w:rsidR="00AC3AC4" w:rsidRPr="00882D12">
        <w:rPr>
          <w:sz w:val="26"/>
          <w:szCs w:val="26"/>
        </w:rPr>
        <w:t xml:space="preserve"> </w:t>
      </w:r>
      <w:r w:rsidR="004027CA" w:rsidRPr="00882D12">
        <w:rPr>
          <w:sz w:val="26"/>
          <w:szCs w:val="26"/>
        </w:rPr>
        <w:t>Имеется п</w:t>
      </w:r>
      <w:r w:rsidR="00AC3AC4" w:rsidRPr="00882D12">
        <w:rPr>
          <w:sz w:val="26"/>
          <w:szCs w:val="26"/>
        </w:rPr>
        <w:t xml:space="preserve">росроченная кредиторская задолженность </w:t>
      </w:r>
      <w:r w:rsidR="004027CA" w:rsidRPr="00882D12">
        <w:rPr>
          <w:sz w:val="26"/>
          <w:szCs w:val="26"/>
        </w:rPr>
        <w:t xml:space="preserve">в сумме </w:t>
      </w:r>
      <w:r w:rsidR="00505D7E" w:rsidRPr="00882D12">
        <w:rPr>
          <w:sz w:val="26"/>
          <w:szCs w:val="26"/>
        </w:rPr>
        <w:t>1</w:t>
      </w:r>
      <w:r w:rsidR="002350A4" w:rsidRPr="00882D12">
        <w:rPr>
          <w:sz w:val="26"/>
          <w:szCs w:val="26"/>
        </w:rPr>
        <w:t>19,7</w:t>
      </w:r>
      <w:r w:rsidR="00AC3AC4" w:rsidRPr="00882D12">
        <w:rPr>
          <w:sz w:val="26"/>
          <w:szCs w:val="26"/>
        </w:rPr>
        <w:t xml:space="preserve"> </w:t>
      </w:r>
      <w:proofErr w:type="gramStart"/>
      <w:r w:rsidR="00AC3AC4" w:rsidRPr="00882D12">
        <w:rPr>
          <w:sz w:val="26"/>
          <w:szCs w:val="26"/>
        </w:rPr>
        <w:t>млн</w:t>
      </w:r>
      <w:proofErr w:type="gramEnd"/>
      <w:r w:rsidR="00AC3AC4" w:rsidRPr="00882D12">
        <w:rPr>
          <w:sz w:val="26"/>
          <w:szCs w:val="26"/>
        </w:rPr>
        <w:t xml:space="preserve"> рублей</w:t>
      </w:r>
      <w:r w:rsidR="00D049E0" w:rsidRPr="00882D12">
        <w:rPr>
          <w:sz w:val="26"/>
          <w:szCs w:val="26"/>
        </w:rPr>
        <w:t xml:space="preserve"> (по состоянию на 01.</w:t>
      </w:r>
      <w:r w:rsidR="00505D7E" w:rsidRPr="00882D12">
        <w:rPr>
          <w:sz w:val="26"/>
          <w:szCs w:val="26"/>
        </w:rPr>
        <w:t>0</w:t>
      </w:r>
      <w:r w:rsidR="003F5F7B" w:rsidRPr="00882D12">
        <w:rPr>
          <w:sz w:val="26"/>
          <w:szCs w:val="26"/>
        </w:rPr>
        <w:t>7</w:t>
      </w:r>
      <w:r w:rsidR="00D049E0" w:rsidRPr="00882D12">
        <w:rPr>
          <w:sz w:val="26"/>
          <w:szCs w:val="26"/>
        </w:rPr>
        <w:t>.201</w:t>
      </w:r>
      <w:r w:rsidR="00505D7E" w:rsidRPr="00882D12">
        <w:rPr>
          <w:sz w:val="26"/>
          <w:szCs w:val="26"/>
        </w:rPr>
        <w:t>4</w:t>
      </w:r>
      <w:r w:rsidR="00D049E0" w:rsidRPr="00882D12">
        <w:rPr>
          <w:sz w:val="26"/>
          <w:szCs w:val="26"/>
        </w:rPr>
        <w:t xml:space="preserve"> </w:t>
      </w:r>
      <w:r w:rsidR="009F1474" w:rsidRPr="00882D12">
        <w:rPr>
          <w:sz w:val="26"/>
          <w:szCs w:val="26"/>
        </w:rPr>
        <w:t xml:space="preserve">– </w:t>
      </w:r>
      <w:r w:rsidR="003F5F7B" w:rsidRPr="00882D12">
        <w:rPr>
          <w:sz w:val="26"/>
          <w:szCs w:val="26"/>
        </w:rPr>
        <w:t>16,9</w:t>
      </w:r>
      <w:r w:rsidR="009F1474" w:rsidRPr="00882D12">
        <w:rPr>
          <w:sz w:val="26"/>
          <w:szCs w:val="26"/>
        </w:rPr>
        <w:t xml:space="preserve"> млн рублей</w:t>
      </w:r>
      <w:r w:rsidR="00D049E0" w:rsidRPr="00882D12">
        <w:rPr>
          <w:sz w:val="26"/>
          <w:szCs w:val="26"/>
        </w:rPr>
        <w:t>).</w:t>
      </w:r>
    </w:p>
    <w:p w:rsidR="003F5F7B" w:rsidRPr="00882D12" w:rsidRDefault="00E02A42" w:rsidP="00882D12">
      <w:pPr>
        <w:spacing w:line="276" w:lineRule="auto"/>
        <w:ind w:firstLine="709"/>
        <w:jc w:val="both"/>
        <w:rPr>
          <w:sz w:val="26"/>
          <w:szCs w:val="26"/>
        </w:rPr>
      </w:pPr>
      <w:r w:rsidRPr="00882D12">
        <w:rPr>
          <w:sz w:val="26"/>
          <w:szCs w:val="26"/>
        </w:rPr>
        <w:t>Кредиторская задолженность, отраженная в оперативных данных как задолженность главных распорядителей, снизилась с</w:t>
      </w:r>
      <w:r w:rsidR="00505D7E" w:rsidRPr="00882D12">
        <w:rPr>
          <w:sz w:val="26"/>
          <w:szCs w:val="26"/>
        </w:rPr>
        <w:t xml:space="preserve"> 92,5</w:t>
      </w:r>
      <w:r w:rsidRPr="00882D12">
        <w:rPr>
          <w:sz w:val="26"/>
          <w:szCs w:val="26"/>
        </w:rPr>
        <w:t xml:space="preserve"> </w:t>
      </w:r>
      <w:proofErr w:type="gramStart"/>
      <w:r w:rsidRPr="00882D12">
        <w:rPr>
          <w:sz w:val="26"/>
          <w:szCs w:val="26"/>
        </w:rPr>
        <w:t>млн</w:t>
      </w:r>
      <w:proofErr w:type="gramEnd"/>
      <w:r w:rsidRPr="00882D12">
        <w:rPr>
          <w:sz w:val="26"/>
          <w:szCs w:val="26"/>
        </w:rPr>
        <w:t xml:space="preserve"> рублей на 01.01.201</w:t>
      </w:r>
      <w:r w:rsidR="00505D7E" w:rsidRPr="00882D12">
        <w:rPr>
          <w:sz w:val="26"/>
          <w:szCs w:val="26"/>
        </w:rPr>
        <w:t>5</w:t>
      </w:r>
      <w:r w:rsidRPr="00882D12">
        <w:rPr>
          <w:sz w:val="26"/>
          <w:szCs w:val="26"/>
        </w:rPr>
        <w:t xml:space="preserve"> до </w:t>
      </w:r>
      <w:r w:rsidR="003F5F7B" w:rsidRPr="00882D12">
        <w:rPr>
          <w:sz w:val="26"/>
          <w:szCs w:val="26"/>
        </w:rPr>
        <w:t>83,5 млн рублей на 01.07.2015, или на 9,8%, но увеличилась по сравнению с 01.04.2015 на 29,4%, или на 19,0 млн рублей.</w:t>
      </w:r>
    </w:p>
    <w:p w:rsidR="0006198B" w:rsidRDefault="004E6860" w:rsidP="00882D12">
      <w:pPr>
        <w:spacing w:line="276" w:lineRule="auto"/>
        <w:ind w:firstLine="709"/>
        <w:jc w:val="both"/>
        <w:rPr>
          <w:sz w:val="26"/>
          <w:szCs w:val="26"/>
        </w:rPr>
      </w:pPr>
      <w:r w:rsidRPr="00882D12">
        <w:rPr>
          <w:b/>
          <w:i/>
          <w:sz w:val="26"/>
          <w:szCs w:val="26"/>
        </w:rPr>
        <w:t>Дебиторская задолженность</w:t>
      </w:r>
      <w:r w:rsidRPr="00882D12">
        <w:rPr>
          <w:sz w:val="26"/>
          <w:szCs w:val="26"/>
        </w:rPr>
        <w:t xml:space="preserve"> составила </w:t>
      </w:r>
      <w:r w:rsidR="000C2AA9" w:rsidRPr="00882D12">
        <w:rPr>
          <w:sz w:val="26"/>
          <w:szCs w:val="26"/>
        </w:rPr>
        <w:t>35,6</w:t>
      </w:r>
      <w:r w:rsidRPr="00882D12">
        <w:rPr>
          <w:sz w:val="26"/>
          <w:szCs w:val="26"/>
        </w:rPr>
        <w:t xml:space="preserve"> </w:t>
      </w:r>
      <w:proofErr w:type="gramStart"/>
      <w:r w:rsidRPr="00882D12">
        <w:rPr>
          <w:sz w:val="26"/>
          <w:szCs w:val="26"/>
        </w:rPr>
        <w:t>млн</w:t>
      </w:r>
      <w:proofErr w:type="gramEnd"/>
      <w:r w:rsidRPr="00882D12">
        <w:rPr>
          <w:sz w:val="26"/>
          <w:szCs w:val="26"/>
        </w:rPr>
        <w:t xml:space="preserve"> рублей, увеличилась с начала года на </w:t>
      </w:r>
      <w:r w:rsidR="000C2AA9" w:rsidRPr="00882D12">
        <w:rPr>
          <w:sz w:val="26"/>
          <w:szCs w:val="26"/>
        </w:rPr>
        <w:t>31,8</w:t>
      </w:r>
      <w:r w:rsidRPr="00882D12">
        <w:rPr>
          <w:sz w:val="26"/>
          <w:szCs w:val="26"/>
        </w:rPr>
        <w:t xml:space="preserve"> млн рублей</w:t>
      </w:r>
      <w:r w:rsidR="008D3DBC" w:rsidRPr="00882D12">
        <w:rPr>
          <w:sz w:val="26"/>
          <w:szCs w:val="26"/>
        </w:rPr>
        <w:t xml:space="preserve"> (</w:t>
      </w:r>
      <w:r w:rsidRPr="00882D12">
        <w:rPr>
          <w:sz w:val="26"/>
          <w:szCs w:val="26"/>
        </w:rPr>
        <w:t xml:space="preserve">в </w:t>
      </w:r>
      <w:r w:rsidR="000C2AA9" w:rsidRPr="00882D12">
        <w:rPr>
          <w:sz w:val="26"/>
          <w:szCs w:val="26"/>
        </w:rPr>
        <w:t>9,6</w:t>
      </w:r>
      <w:r w:rsidRPr="00882D12">
        <w:rPr>
          <w:sz w:val="26"/>
          <w:szCs w:val="26"/>
        </w:rPr>
        <w:t xml:space="preserve"> раз</w:t>
      </w:r>
      <w:r w:rsidR="00505D7E" w:rsidRPr="00882D12">
        <w:rPr>
          <w:sz w:val="26"/>
          <w:szCs w:val="26"/>
        </w:rPr>
        <w:t>а</w:t>
      </w:r>
      <w:r w:rsidR="008D3DBC" w:rsidRPr="00882D12">
        <w:rPr>
          <w:sz w:val="26"/>
          <w:szCs w:val="26"/>
        </w:rPr>
        <w:t>)</w:t>
      </w:r>
      <w:r w:rsidRPr="00882D12">
        <w:rPr>
          <w:sz w:val="26"/>
          <w:szCs w:val="26"/>
        </w:rPr>
        <w:t xml:space="preserve"> в основном за счет </w:t>
      </w:r>
      <w:r w:rsidR="00505D7E" w:rsidRPr="00882D12">
        <w:rPr>
          <w:sz w:val="26"/>
          <w:szCs w:val="26"/>
        </w:rPr>
        <w:t>увеличения задолженности Управления социальной защиты населения Администрации города Вологды по выплате пособий по социаль</w:t>
      </w:r>
      <w:r w:rsidR="00CD3DD5" w:rsidRPr="00882D12">
        <w:rPr>
          <w:sz w:val="26"/>
          <w:szCs w:val="26"/>
        </w:rPr>
        <w:t>ной помощи населению (рост на 18,3</w:t>
      </w:r>
      <w:r w:rsidR="00505D7E" w:rsidRPr="00882D12">
        <w:rPr>
          <w:sz w:val="26"/>
          <w:szCs w:val="26"/>
        </w:rPr>
        <w:t xml:space="preserve"> млн рублей</w:t>
      </w:r>
      <w:r w:rsidR="00C7689D">
        <w:rPr>
          <w:sz w:val="26"/>
          <w:szCs w:val="26"/>
        </w:rPr>
        <w:t>).</w:t>
      </w:r>
    </w:p>
    <w:p w:rsidR="00C7689D" w:rsidRPr="00882D12" w:rsidRDefault="00C7689D" w:rsidP="00882D1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845D5D" w:rsidRPr="00882D12" w:rsidRDefault="00237B08" w:rsidP="00882D12">
      <w:pPr>
        <w:spacing w:line="276" w:lineRule="auto"/>
        <w:jc w:val="center"/>
        <w:rPr>
          <w:sz w:val="26"/>
          <w:szCs w:val="26"/>
        </w:rPr>
      </w:pPr>
      <w:r w:rsidRPr="00882D12">
        <w:rPr>
          <w:b/>
          <w:sz w:val="26"/>
          <w:szCs w:val="26"/>
        </w:rPr>
        <w:lastRenderedPageBreak/>
        <w:t>Выводы</w:t>
      </w:r>
    </w:p>
    <w:p w:rsidR="00065FDC" w:rsidRPr="00882D12" w:rsidRDefault="00CC1B87" w:rsidP="00882D12">
      <w:pPr>
        <w:spacing w:line="276" w:lineRule="auto"/>
        <w:ind w:firstLine="709"/>
        <w:jc w:val="both"/>
        <w:rPr>
          <w:sz w:val="26"/>
          <w:szCs w:val="26"/>
        </w:rPr>
      </w:pPr>
      <w:r w:rsidRPr="00882D12">
        <w:rPr>
          <w:sz w:val="26"/>
          <w:szCs w:val="26"/>
        </w:rPr>
        <w:t>Доходы</w:t>
      </w:r>
      <w:r w:rsidR="003700E9" w:rsidRPr="00882D12">
        <w:rPr>
          <w:sz w:val="26"/>
          <w:szCs w:val="26"/>
        </w:rPr>
        <w:t xml:space="preserve"> бюджет</w:t>
      </w:r>
      <w:r w:rsidRPr="00882D12">
        <w:rPr>
          <w:sz w:val="26"/>
          <w:szCs w:val="26"/>
        </w:rPr>
        <w:t>а</w:t>
      </w:r>
      <w:r w:rsidR="003700E9" w:rsidRPr="00882D12">
        <w:rPr>
          <w:sz w:val="26"/>
          <w:szCs w:val="26"/>
        </w:rPr>
        <w:t xml:space="preserve"> города Вологды за </w:t>
      </w:r>
      <w:r w:rsidR="00CB06DA" w:rsidRPr="00882D12">
        <w:rPr>
          <w:sz w:val="26"/>
          <w:szCs w:val="26"/>
        </w:rPr>
        <w:t>перв</w:t>
      </w:r>
      <w:r w:rsidR="0026319C" w:rsidRPr="00882D12">
        <w:rPr>
          <w:sz w:val="26"/>
          <w:szCs w:val="26"/>
        </w:rPr>
        <w:t>ое полугодие</w:t>
      </w:r>
      <w:r w:rsidR="003700E9" w:rsidRPr="00882D12">
        <w:rPr>
          <w:sz w:val="26"/>
          <w:szCs w:val="26"/>
        </w:rPr>
        <w:t xml:space="preserve"> 201</w:t>
      </w:r>
      <w:r w:rsidR="00CB06DA" w:rsidRPr="00882D12">
        <w:rPr>
          <w:sz w:val="26"/>
          <w:szCs w:val="26"/>
        </w:rPr>
        <w:t>5</w:t>
      </w:r>
      <w:r w:rsidR="003700E9" w:rsidRPr="00882D12">
        <w:rPr>
          <w:sz w:val="26"/>
          <w:szCs w:val="26"/>
        </w:rPr>
        <w:t xml:space="preserve"> года </w:t>
      </w:r>
      <w:r w:rsidRPr="00882D12">
        <w:rPr>
          <w:sz w:val="26"/>
          <w:szCs w:val="26"/>
        </w:rPr>
        <w:t xml:space="preserve">исполнены </w:t>
      </w:r>
      <w:r w:rsidR="003700E9" w:rsidRPr="00882D12">
        <w:rPr>
          <w:sz w:val="26"/>
          <w:szCs w:val="26"/>
        </w:rPr>
        <w:t xml:space="preserve">в сумме </w:t>
      </w:r>
      <w:r w:rsidR="0026319C" w:rsidRPr="00882D12">
        <w:rPr>
          <w:sz w:val="26"/>
          <w:szCs w:val="26"/>
        </w:rPr>
        <w:t>3475,3</w:t>
      </w:r>
      <w:r w:rsidR="003700E9" w:rsidRPr="00882D12">
        <w:rPr>
          <w:sz w:val="26"/>
          <w:szCs w:val="26"/>
        </w:rPr>
        <w:t xml:space="preserve"> </w:t>
      </w:r>
      <w:proofErr w:type="gramStart"/>
      <w:r w:rsidR="003700E9" w:rsidRPr="00882D12">
        <w:rPr>
          <w:sz w:val="26"/>
          <w:szCs w:val="26"/>
        </w:rPr>
        <w:t>млн</w:t>
      </w:r>
      <w:proofErr w:type="gramEnd"/>
      <w:r w:rsidR="003700E9" w:rsidRPr="00882D12">
        <w:rPr>
          <w:sz w:val="26"/>
          <w:szCs w:val="26"/>
        </w:rPr>
        <w:t xml:space="preserve"> рублей, или </w:t>
      </w:r>
      <w:r w:rsidRPr="00882D12">
        <w:rPr>
          <w:sz w:val="26"/>
          <w:szCs w:val="26"/>
        </w:rPr>
        <w:t xml:space="preserve">на </w:t>
      </w:r>
      <w:r w:rsidR="0026319C" w:rsidRPr="00882D12">
        <w:rPr>
          <w:sz w:val="26"/>
          <w:szCs w:val="26"/>
        </w:rPr>
        <w:t>51,3</w:t>
      </w:r>
      <w:r w:rsidR="003700E9" w:rsidRPr="00882D12">
        <w:rPr>
          <w:sz w:val="26"/>
          <w:szCs w:val="26"/>
        </w:rPr>
        <w:t xml:space="preserve">% </w:t>
      </w:r>
      <w:r w:rsidR="00F03DC2" w:rsidRPr="00882D12">
        <w:rPr>
          <w:sz w:val="26"/>
          <w:szCs w:val="26"/>
        </w:rPr>
        <w:t xml:space="preserve">к </w:t>
      </w:r>
      <w:r w:rsidR="003700E9" w:rsidRPr="00882D12">
        <w:rPr>
          <w:sz w:val="26"/>
          <w:szCs w:val="26"/>
        </w:rPr>
        <w:t>годовы</w:t>
      </w:r>
      <w:r w:rsidR="00F03DC2" w:rsidRPr="00882D12">
        <w:rPr>
          <w:sz w:val="26"/>
          <w:szCs w:val="26"/>
        </w:rPr>
        <w:t>м</w:t>
      </w:r>
      <w:r w:rsidR="003700E9" w:rsidRPr="00882D12">
        <w:rPr>
          <w:sz w:val="26"/>
          <w:szCs w:val="26"/>
        </w:rPr>
        <w:t xml:space="preserve"> назначени</w:t>
      </w:r>
      <w:r w:rsidR="00F03DC2" w:rsidRPr="00882D12">
        <w:rPr>
          <w:sz w:val="26"/>
          <w:szCs w:val="26"/>
        </w:rPr>
        <w:t>ям</w:t>
      </w:r>
      <w:r w:rsidRPr="00882D12">
        <w:rPr>
          <w:sz w:val="26"/>
          <w:szCs w:val="26"/>
        </w:rPr>
        <w:t>,</w:t>
      </w:r>
      <w:r w:rsidR="00057F36" w:rsidRPr="00882D12">
        <w:rPr>
          <w:sz w:val="26"/>
          <w:szCs w:val="26"/>
        </w:rPr>
        <w:t xml:space="preserve"> что на </w:t>
      </w:r>
      <w:r w:rsidR="00A93A4B" w:rsidRPr="00882D12">
        <w:rPr>
          <w:sz w:val="26"/>
          <w:szCs w:val="26"/>
        </w:rPr>
        <w:t>311,6</w:t>
      </w:r>
      <w:r w:rsidR="00057F36" w:rsidRPr="00882D12">
        <w:rPr>
          <w:sz w:val="26"/>
          <w:szCs w:val="26"/>
        </w:rPr>
        <w:t xml:space="preserve"> млн рублей (на </w:t>
      </w:r>
      <w:r w:rsidR="00A93A4B" w:rsidRPr="00882D12">
        <w:rPr>
          <w:sz w:val="26"/>
          <w:szCs w:val="26"/>
        </w:rPr>
        <w:t>9,8</w:t>
      </w:r>
      <w:r w:rsidR="00057F36" w:rsidRPr="00882D12">
        <w:rPr>
          <w:sz w:val="26"/>
          <w:szCs w:val="26"/>
        </w:rPr>
        <w:t>%) больше, чем в аналогичном периоде 201</w:t>
      </w:r>
      <w:r w:rsidR="004C3DDF" w:rsidRPr="00882D12">
        <w:rPr>
          <w:sz w:val="26"/>
          <w:szCs w:val="26"/>
        </w:rPr>
        <w:t>4</w:t>
      </w:r>
      <w:r w:rsidR="00057F36" w:rsidRPr="00882D12">
        <w:rPr>
          <w:sz w:val="26"/>
          <w:szCs w:val="26"/>
        </w:rPr>
        <w:t xml:space="preserve"> года</w:t>
      </w:r>
      <w:r w:rsidR="0079545B" w:rsidRPr="00882D12">
        <w:rPr>
          <w:sz w:val="26"/>
          <w:szCs w:val="26"/>
        </w:rPr>
        <w:t>, в том числе за счет увеличения</w:t>
      </w:r>
      <w:r w:rsidR="009272E2" w:rsidRPr="00882D12">
        <w:rPr>
          <w:sz w:val="26"/>
          <w:szCs w:val="26"/>
        </w:rPr>
        <w:t xml:space="preserve"> налоговых и неналоговых доходов бюджета</w:t>
      </w:r>
      <w:r w:rsidR="0079545B" w:rsidRPr="00882D12">
        <w:rPr>
          <w:sz w:val="26"/>
          <w:szCs w:val="26"/>
        </w:rPr>
        <w:t xml:space="preserve"> на </w:t>
      </w:r>
      <w:r w:rsidR="00065FDC" w:rsidRPr="00882D12">
        <w:rPr>
          <w:sz w:val="26"/>
          <w:szCs w:val="26"/>
        </w:rPr>
        <w:t>174,6 млн рублей (14,5%).</w:t>
      </w:r>
    </w:p>
    <w:p w:rsidR="00CC1B87" w:rsidRPr="00882D12" w:rsidRDefault="00057F36" w:rsidP="00882D12">
      <w:pPr>
        <w:spacing w:line="276" w:lineRule="auto"/>
        <w:ind w:firstLine="709"/>
        <w:jc w:val="both"/>
        <w:rPr>
          <w:sz w:val="26"/>
          <w:szCs w:val="26"/>
        </w:rPr>
      </w:pPr>
      <w:r w:rsidRPr="00882D12">
        <w:rPr>
          <w:sz w:val="26"/>
          <w:szCs w:val="26"/>
        </w:rPr>
        <w:t>Н</w:t>
      </w:r>
      <w:r w:rsidR="00CC1B87" w:rsidRPr="00882D12">
        <w:rPr>
          <w:sz w:val="26"/>
          <w:szCs w:val="26"/>
        </w:rPr>
        <w:t xml:space="preserve">алоговые и неналоговые доходы </w:t>
      </w:r>
      <w:r w:rsidRPr="00882D12">
        <w:rPr>
          <w:sz w:val="26"/>
          <w:szCs w:val="26"/>
        </w:rPr>
        <w:t>исполнены в сумме</w:t>
      </w:r>
      <w:r w:rsidR="00CC1B87" w:rsidRPr="00882D12">
        <w:rPr>
          <w:sz w:val="26"/>
          <w:szCs w:val="26"/>
        </w:rPr>
        <w:t xml:space="preserve"> </w:t>
      </w:r>
      <w:r w:rsidR="00777F15" w:rsidRPr="00882D12">
        <w:rPr>
          <w:sz w:val="26"/>
          <w:szCs w:val="26"/>
        </w:rPr>
        <w:t xml:space="preserve">1374,6 </w:t>
      </w:r>
      <w:proofErr w:type="gramStart"/>
      <w:r w:rsidR="00777F15" w:rsidRPr="00882D12">
        <w:rPr>
          <w:sz w:val="26"/>
          <w:szCs w:val="26"/>
        </w:rPr>
        <w:t>млн</w:t>
      </w:r>
      <w:proofErr w:type="gramEnd"/>
      <w:r w:rsidR="00777F15" w:rsidRPr="00882D12">
        <w:rPr>
          <w:sz w:val="26"/>
          <w:szCs w:val="26"/>
        </w:rPr>
        <w:t xml:space="preserve"> рублей</w:t>
      </w:r>
      <w:r w:rsidR="00CC1B87" w:rsidRPr="00882D12">
        <w:rPr>
          <w:sz w:val="26"/>
          <w:szCs w:val="26"/>
        </w:rPr>
        <w:t xml:space="preserve">, или на </w:t>
      </w:r>
      <w:r w:rsidR="00777F15" w:rsidRPr="00882D12">
        <w:rPr>
          <w:sz w:val="26"/>
          <w:szCs w:val="26"/>
        </w:rPr>
        <w:t>43,4</w:t>
      </w:r>
      <w:r w:rsidR="00CC1B87" w:rsidRPr="00882D12">
        <w:rPr>
          <w:sz w:val="26"/>
          <w:szCs w:val="26"/>
        </w:rPr>
        <w:t>% к утвержденным назначениям</w:t>
      </w:r>
      <w:r w:rsidR="00CD14BC" w:rsidRPr="00882D12">
        <w:rPr>
          <w:sz w:val="26"/>
          <w:szCs w:val="26"/>
        </w:rPr>
        <w:t>.</w:t>
      </w:r>
      <w:r w:rsidR="008318B0" w:rsidRPr="00882D12">
        <w:rPr>
          <w:sz w:val="26"/>
          <w:szCs w:val="26"/>
        </w:rPr>
        <w:t xml:space="preserve"> Б</w:t>
      </w:r>
      <w:r w:rsidR="00CC1B87" w:rsidRPr="00882D12">
        <w:rPr>
          <w:sz w:val="26"/>
          <w:szCs w:val="26"/>
        </w:rPr>
        <w:t xml:space="preserve">езвозмездные поступления </w:t>
      </w:r>
      <w:r w:rsidR="008318B0" w:rsidRPr="00882D12">
        <w:rPr>
          <w:sz w:val="26"/>
          <w:szCs w:val="26"/>
        </w:rPr>
        <w:t>исполнен</w:t>
      </w:r>
      <w:r w:rsidR="00AA09EF" w:rsidRPr="00882D12">
        <w:rPr>
          <w:sz w:val="26"/>
          <w:szCs w:val="26"/>
        </w:rPr>
        <w:t>ы в объеме</w:t>
      </w:r>
      <w:r w:rsidRPr="00882D12">
        <w:rPr>
          <w:sz w:val="26"/>
          <w:szCs w:val="26"/>
        </w:rPr>
        <w:t xml:space="preserve"> </w:t>
      </w:r>
      <w:r w:rsidR="004C1157" w:rsidRPr="00882D12">
        <w:rPr>
          <w:sz w:val="26"/>
          <w:szCs w:val="26"/>
        </w:rPr>
        <w:t xml:space="preserve">2100,7 </w:t>
      </w:r>
      <w:proofErr w:type="gramStart"/>
      <w:r w:rsidR="004C1157" w:rsidRPr="00882D12">
        <w:rPr>
          <w:sz w:val="26"/>
          <w:szCs w:val="26"/>
        </w:rPr>
        <w:t>млн</w:t>
      </w:r>
      <w:proofErr w:type="gramEnd"/>
      <w:r w:rsidR="004C1157" w:rsidRPr="00882D12">
        <w:rPr>
          <w:sz w:val="26"/>
          <w:szCs w:val="26"/>
        </w:rPr>
        <w:t xml:space="preserve"> рублей, или на 58,3% </w:t>
      </w:r>
      <w:r w:rsidR="00BC738F" w:rsidRPr="00882D12">
        <w:rPr>
          <w:sz w:val="26"/>
          <w:szCs w:val="26"/>
        </w:rPr>
        <w:t>к утвержденным назначениям.</w:t>
      </w:r>
    </w:p>
    <w:p w:rsidR="00431D31" w:rsidRPr="00882D12" w:rsidRDefault="00FD17EE" w:rsidP="00882D12">
      <w:pPr>
        <w:spacing w:line="276" w:lineRule="auto"/>
        <w:ind w:firstLine="709"/>
        <w:jc w:val="both"/>
        <w:rPr>
          <w:sz w:val="26"/>
          <w:szCs w:val="26"/>
        </w:rPr>
      </w:pPr>
      <w:r w:rsidRPr="00882D12">
        <w:rPr>
          <w:sz w:val="26"/>
          <w:szCs w:val="26"/>
        </w:rPr>
        <w:t>Р</w:t>
      </w:r>
      <w:r w:rsidR="003700E9" w:rsidRPr="00882D12">
        <w:rPr>
          <w:sz w:val="26"/>
          <w:szCs w:val="26"/>
        </w:rPr>
        <w:t xml:space="preserve">асходы бюджета </w:t>
      </w:r>
      <w:r w:rsidR="00431D31" w:rsidRPr="00882D12">
        <w:rPr>
          <w:sz w:val="26"/>
          <w:szCs w:val="26"/>
        </w:rPr>
        <w:t>за отчетный период составили</w:t>
      </w:r>
      <w:r w:rsidR="003700E9" w:rsidRPr="00882D12">
        <w:rPr>
          <w:sz w:val="26"/>
          <w:szCs w:val="26"/>
        </w:rPr>
        <w:t xml:space="preserve"> </w:t>
      </w:r>
      <w:r w:rsidR="006B21FC" w:rsidRPr="00882D12">
        <w:rPr>
          <w:sz w:val="26"/>
          <w:szCs w:val="26"/>
        </w:rPr>
        <w:t xml:space="preserve">3817,1 </w:t>
      </w:r>
      <w:proofErr w:type="gramStart"/>
      <w:r w:rsidR="006B21FC" w:rsidRPr="00882D12">
        <w:rPr>
          <w:sz w:val="26"/>
          <w:szCs w:val="26"/>
        </w:rPr>
        <w:t>млн</w:t>
      </w:r>
      <w:proofErr w:type="gramEnd"/>
      <w:r w:rsidR="006B21FC" w:rsidRPr="00882D12">
        <w:rPr>
          <w:b/>
          <w:bCs/>
          <w:i/>
          <w:iCs/>
          <w:sz w:val="26"/>
          <w:szCs w:val="26"/>
        </w:rPr>
        <w:t xml:space="preserve"> </w:t>
      </w:r>
      <w:r w:rsidR="006B21FC" w:rsidRPr="00882D12">
        <w:rPr>
          <w:sz w:val="26"/>
          <w:szCs w:val="26"/>
        </w:rPr>
        <w:t xml:space="preserve">рублей, </w:t>
      </w:r>
      <w:r w:rsidR="003700E9" w:rsidRPr="00882D12">
        <w:rPr>
          <w:sz w:val="26"/>
          <w:szCs w:val="26"/>
        </w:rPr>
        <w:t xml:space="preserve">или </w:t>
      </w:r>
      <w:r w:rsidR="006B21FC" w:rsidRPr="00882D12">
        <w:rPr>
          <w:sz w:val="26"/>
          <w:szCs w:val="26"/>
        </w:rPr>
        <w:t>54,0</w:t>
      </w:r>
      <w:r w:rsidR="003700E9" w:rsidRPr="00882D12">
        <w:rPr>
          <w:sz w:val="26"/>
          <w:szCs w:val="26"/>
        </w:rPr>
        <w:t xml:space="preserve">% к </w:t>
      </w:r>
      <w:r w:rsidR="00431D31" w:rsidRPr="00882D12">
        <w:rPr>
          <w:sz w:val="26"/>
          <w:szCs w:val="26"/>
        </w:rPr>
        <w:t xml:space="preserve">утвержденным </w:t>
      </w:r>
      <w:r w:rsidR="003700E9" w:rsidRPr="00882D12">
        <w:rPr>
          <w:sz w:val="26"/>
          <w:szCs w:val="26"/>
        </w:rPr>
        <w:t>годовым назначениям</w:t>
      </w:r>
      <w:r w:rsidR="00057F36" w:rsidRPr="00882D12">
        <w:rPr>
          <w:sz w:val="26"/>
          <w:szCs w:val="26"/>
        </w:rPr>
        <w:t xml:space="preserve">, что на </w:t>
      </w:r>
      <w:r w:rsidR="0067205C" w:rsidRPr="00882D12">
        <w:rPr>
          <w:sz w:val="26"/>
          <w:szCs w:val="26"/>
        </w:rPr>
        <w:t>119,7</w:t>
      </w:r>
      <w:r w:rsidR="00057F36" w:rsidRPr="00882D12">
        <w:rPr>
          <w:sz w:val="26"/>
          <w:szCs w:val="26"/>
        </w:rPr>
        <w:t xml:space="preserve"> млн рублей (на </w:t>
      </w:r>
      <w:r w:rsidR="0067205C" w:rsidRPr="00882D12">
        <w:rPr>
          <w:sz w:val="26"/>
          <w:szCs w:val="26"/>
        </w:rPr>
        <w:t>3,2</w:t>
      </w:r>
      <w:r w:rsidR="00057F36" w:rsidRPr="00882D12">
        <w:rPr>
          <w:sz w:val="26"/>
          <w:szCs w:val="26"/>
        </w:rPr>
        <w:t xml:space="preserve">%) </w:t>
      </w:r>
      <w:r w:rsidR="00431D31" w:rsidRPr="00882D12">
        <w:rPr>
          <w:sz w:val="26"/>
          <w:szCs w:val="26"/>
        </w:rPr>
        <w:t>больше</w:t>
      </w:r>
      <w:r w:rsidR="00057F36" w:rsidRPr="00882D12">
        <w:rPr>
          <w:sz w:val="26"/>
          <w:szCs w:val="26"/>
        </w:rPr>
        <w:t xml:space="preserve">, чем </w:t>
      </w:r>
      <w:r w:rsidR="00227D88" w:rsidRPr="00882D12">
        <w:rPr>
          <w:sz w:val="26"/>
          <w:szCs w:val="26"/>
        </w:rPr>
        <w:t xml:space="preserve">за </w:t>
      </w:r>
      <w:r w:rsidR="00CD14BC" w:rsidRPr="00882D12">
        <w:rPr>
          <w:sz w:val="26"/>
          <w:szCs w:val="26"/>
        </w:rPr>
        <w:t>перв</w:t>
      </w:r>
      <w:r w:rsidR="006B21FC" w:rsidRPr="00882D12">
        <w:rPr>
          <w:sz w:val="26"/>
          <w:szCs w:val="26"/>
        </w:rPr>
        <w:t>ое полугодие</w:t>
      </w:r>
      <w:r w:rsidR="00227D88" w:rsidRPr="00882D12">
        <w:rPr>
          <w:sz w:val="26"/>
          <w:szCs w:val="26"/>
        </w:rPr>
        <w:t xml:space="preserve"> </w:t>
      </w:r>
      <w:r w:rsidR="00057F36" w:rsidRPr="00882D12">
        <w:rPr>
          <w:sz w:val="26"/>
          <w:szCs w:val="26"/>
        </w:rPr>
        <w:t>201</w:t>
      </w:r>
      <w:r w:rsidR="00CD14BC" w:rsidRPr="00882D12">
        <w:rPr>
          <w:sz w:val="26"/>
          <w:szCs w:val="26"/>
        </w:rPr>
        <w:t>4</w:t>
      </w:r>
      <w:r w:rsidR="00057F36" w:rsidRPr="00882D12">
        <w:rPr>
          <w:sz w:val="26"/>
          <w:szCs w:val="26"/>
        </w:rPr>
        <w:t xml:space="preserve"> года</w:t>
      </w:r>
      <w:r w:rsidR="003700E9" w:rsidRPr="00882D12">
        <w:rPr>
          <w:sz w:val="26"/>
          <w:szCs w:val="26"/>
        </w:rPr>
        <w:t xml:space="preserve">. </w:t>
      </w:r>
      <w:r w:rsidR="00431D31" w:rsidRPr="00882D12">
        <w:rPr>
          <w:sz w:val="26"/>
          <w:szCs w:val="26"/>
        </w:rPr>
        <w:t>За счет безвозмездных поступлений от других бюджетов израсходовано</w:t>
      </w:r>
      <w:r w:rsidR="0067205C" w:rsidRPr="00882D12">
        <w:rPr>
          <w:sz w:val="26"/>
          <w:szCs w:val="26"/>
        </w:rPr>
        <w:t xml:space="preserve"> 2068,3 </w:t>
      </w:r>
      <w:proofErr w:type="gramStart"/>
      <w:r w:rsidR="0067205C" w:rsidRPr="00882D12">
        <w:rPr>
          <w:sz w:val="26"/>
          <w:szCs w:val="26"/>
        </w:rPr>
        <w:t>млн</w:t>
      </w:r>
      <w:proofErr w:type="gramEnd"/>
      <w:r w:rsidR="0067205C" w:rsidRPr="00882D12">
        <w:rPr>
          <w:sz w:val="26"/>
          <w:szCs w:val="26"/>
        </w:rPr>
        <w:t xml:space="preserve"> рублей, или 54,2% </w:t>
      </w:r>
      <w:r w:rsidR="00431D31" w:rsidRPr="00882D12">
        <w:rPr>
          <w:sz w:val="26"/>
          <w:szCs w:val="26"/>
        </w:rPr>
        <w:t xml:space="preserve"> общего объема кассовых расходов.</w:t>
      </w:r>
    </w:p>
    <w:p w:rsidR="00782D79" w:rsidRPr="00882D12" w:rsidRDefault="00782D79" w:rsidP="00882D12">
      <w:pPr>
        <w:spacing w:line="276" w:lineRule="auto"/>
        <w:ind w:firstLine="709"/>
        <w:jc w:val="both"/>
        <w:rPr>
          <w:sz w:val="26"/>
          <w:szCs w:val="26"/>
        </w:rPr>
      </w:pPr>
      <w:r w:rsidRPr="00882D12">
        <w:rPr>
          <w:sz w:val="26"/>
          <w:szCs w:val="26"/>
        </w:rPr>
        <w:t xml:space="preserve">Общий объем программных расходов </w:t>
      </w:r>
      <w:r w:rsidR="00BC738F" w:rsidRPr="00882D12">
        <w:rPr>
          <w:sz w:val="26"/>
          <w:szCs w:val="26"/>
        </w:rPr>
        <w:t xml:space="preserve">в отчетном периоде </w:t>
      </w:r>
      <w:r w:rsidRPr="00882D12">
        <w:rPr>
          <w:sz w:val="26"/>
          <w:szCs w:val="26"/>
        </w:rPr>
        <w:t xml:space="preserve">составил </w:t>
      </w:r>
      <w:r w:rsidR="00095164" w:rsidRPr="00882D12">
        <w:rPr>
          <w:sz w:val="26"/>
          <w:szCs w:val="26"/>
        </w:rPr>
        <w:t xml:space="preserve">3328,6 </w:t>
      </w:r>
      <w:proofErr w:type="gramStart"/>
      <w:r w:rsidR="00095164" w:rsidRPr="00882D12">
        <w:rPr>
          <w:sz w:val="26"/>
          <w:szCs w:val="26"/>
        </w:rPr>
        <w:t>млн</w:t>
      </w:r>
      <w:proofErr w:type="gramEnd"/>
      <w:r w:rsidR="00095164" w:rsidRPr="00882D12">
        <w:rPr>
          <w:sz w:val="26"/>
          <w:szCs w:val="26"/>
        </w:rPr>
        <w:t xml:space="preserve"> рублей, или 56,3% к</w:t>
      </w:r>
      <w:r w:rsidRPr="00882D12">
        <w:rPr>
          <w:sz w:val="26"/>
          <w:szCs w:val="26"/>
        </w:rPr>
        <w:t xml:space="preserve"> утвержденным годовым назначениям по муниципальным программам</w:t>
      </w:r>
      <w:r w:rsidR="004C2891" w:rsidRPr="00882D12">
        <w:rPr>
          <w:sz w:val="26"/>
          <w:szCs w:val="26"/>
        </w:rPr>
        <w:t xml:space="preserve">. Доля программного финансирования составила </w:t>
      </w:r>
      <w:r w:rsidR="00C95D53" w:rsidRPr="00882D12">
        <w:rPr>
          <w:sz w:val="26"/>
          <w:szCs w:val="26"/>
        </w:rPr>
        <w:t>8</w:t>
      </w:r>
      <w:r w:rsidR="00095164" w:rsidRPr="00882D12">
        <w:rPr>
          <w:sz w:val="26"/>
          <w:szCs w:val="26"/>
        </w:rPr>
        <w:t>7,2</w:t>
      </w:r>
      <w:r w:rsidR="004C2891" w:rsidRPr="00882D12">
        <w:rPr>
          <w:sz w:val="26"/>
          <w:szCs w:val="26"/>
        </w:rPr>
        <w:t xml:space="preserve">% от расходов бюджета за </w:t>
      </w:r>
      <w:r w:rsidR="00C95D53" w:rsidRPr="00882D12">
        <w:rPr>
          <w:sz w:val="26"/>
          <w:szCs w:val="26"/>
        </w:rPr>
        <w:t>перв</w:t>
      </w:r>
      <w:r w:rsidR="00095164" w:rsidRPr="00882D12">
        <w:rPr>
          <w:sz w:val="26"/>
          <w:szCs w:val="26"/>
        </w:rPr>
        <w:t>ое полугодие</w:t>
      </w:r>
      <w:r w:rsidR="004C2891" w:rsidRPr="00882D12">
        <w:rPr>
          <w:sz w:val="26"/>
          <w:szCs w:val="26"/>
        </w:rPr>
        <w:t>.</w:t>
      </w:r>
    </w:p>
    <w:p w:rsidR="00403095" w:rsidRPr="00882D12" w:rsidRDefault="00403095" w:rsidP="00882D12">
      <w:pPr>
        <w:spacing w:line="276" w:lineRule="auto"/>
        <w:ind w:firstLine="709"/>
        <w:jc w:val="both"/>
        <w:rPr>
          <w:sz w:val="26"/>
          <w:szCs w:val="26"/>
        </w:rPr>
      </w:pPr>
      <w:r w:rsidRPr="00882D12">
        <w:rPr>
          <w:sz w:val="26"/>
          <w:szCs w:val="26"/>
        </w:rPr>
        <w:t xml:space="preserve">Бюджет исполнен с дефицитом в сумме 341,8 </w:t>
      </w:r>
      <w:proofErr w:type="gramStart"/>
      <w:r w:rsidRPr="00882D12">
        <w:rPr>
          <w:sz w:val="26"/>
          <w:szCs w:val="26"/>
        </w:rPr>
        <w:t>млн</w:t>
      </w:r>
      <w:proofErr w:type="gramEnd"/>
      <w:r w:rsidRPr="00882D12">
        <w:rPr>
          <w:sz w:val="26"/>
          <w:szCs w:val="26"/>
        </w:rPr>
        <w:t xml:space="preserve"> рублей, что превышает утвержденные годовые назначения на 48,4 млн рублей (</w:t>
      </w:r>
      <w:r w:rsidR="00720149" w:rsidRPr="00882D12">
        <w:rPr>
          <w:sz w:val="26"/>
          <w:szCs w:val="26"/>
        </w:rPr>
        <w:t xml:space="preserve">на </w:t>
      </w:r>
      <w:r w:rsidRPr="00882D12">
        <w:rPr>
          <w:sz w:val="26"/>
          <w:szCs w:val="26"/>
        </w:rPr>
        <w:t>16,5%).</w:t>
      </w:r>
    </w:p>
    <w:p w:rsidR="00403095" w:rsidRPr="00882D12" w:rsidRDefault="00403095" w:rsidP="00882D12">
      <w:pPr>
        <w:spacing w:line="276" w:lineRule="auto"/>
        <w:ind w:firstLine="709"/>
        <w:jc w:val="both"/>
        <w:rPr>
          <w:sz w:val="26"/>
          <w:szCs w:val="26"/>
        </w:rPr>
      </w:pPr>
      <w:r w:rsidRPr="00882D12">
        <w:rPr>
          <w:sz w:val="26"/>
          <w:szCs w:val="26"/>
        </w:rPr>
        <w:t>Сформировавшийся по итогам первого полугодия 2015 года размер дефицита бюджета вызывает определенную обеспокоенность по поводу соблюдения принципа сбалансированности бюджета города, установленного статьей 33 Бюджетного кодекса РФ, а также соблюдения принципа достоверности бюджета, установленного статьей 37 Бюджетного кодекса РФ.</w:t>
      </w:r>
    </w:p>
    <w:p w:rsidR="00D85E4D" w:rsidRPr="00882D12" w:rsidRDefault="00D85E4D" w:rsidP="00882D12">
      <w:pPr>
        <w:spacing w:line="276" w:lineRule="auto"/>
        <w:ind w:firstLine="709"/>
        <w:jc w:val="both"/>
        <w:rPr>
          <w:sz w:val="26"/>
          <w:szCs w:val="26"/>
        </w:rPr>
      </w:pPr>
      <w:r w:rsidRPr="00882D12">
        <w:rPr>
          <w:sz w:val="26"/>
          <w:szCs w:val="26"/>
        </w:rPr>
        <w:t xml:space="preserve">В составе </w:t>
      </w:r>
      <w:r w:rsidRPr="00882D12">
        <w:rPr>
          <w:b/>
          <w:i/>
          <w:sz w:val="26"/>
          <w:szCs w:val="26"/>
        </w:rPr>
        <w:t>источников финансирования дефицита бюджета</w:t>
      </w:r>
      <w:r w:rsidRPr="00882D12">
        <w:rPr>
          <w:sz w:val="26"/>
          <w:szCs w:val="26"/>
        </w:rPr>
        <w:t xml:space="preserve"> города отражено привлечение кредитов от кредитных организаций в объеме 1175,7 </w:t>
      </w:r>
      <w:proofErr w:type="gramStart"/>
      <w:r w:rsidRPr="00882D12">
        <w:rPr>
          <w:sz w:val="26"/>
          <w:szCs w:val="26"/>
        </w:rPr>
        <w:t>млн</w:t>
      </w:r>
      <w:proofErr w:type="gramEnd"/>
      <w:r w:rsidRPr="00882D12">
        <w:rPr>
          <w:sz w:val="26"/>
          <w:szCs w:val="26"/>
        </w:rPr>
        <w:t xml:space="preserve"> рублей, бюджетных кредитов в размере 740,1 млн рублей, средства бюджетных и автономных учреждений в сумме 66,1 млн рублей. За 1 полугодие </w:t>
      </w:r>
      <w:proofErr w:type="spellStart"/>
      <w:r w:rsidRPr="00882D12">
        <w:rPr>
          <w:sz w:val="26"/>
          <w:szCs w:val="26"/>
        </w:rPr>
        <w:t>т.г</w:t>
      </w:r>
      <w:proofErr w:type="spellEnd"/>
      <w:r w:rsidRPr="00882D12">
        <w:rPr>
          <w:sz w:val="26"/>
          <w:szCs w:val="26"/>
        </w:rPr>
        <w:t xml:space="preserve">. погашено 1265,7 </w:t>
      </w:r>
      <w:proofErr w:type="gramStart"/>
      <w:r w:rsidRPr="00882D12">
        <w:rPr>
          <w:sz w:val="26"/>
          <w:szCs w:val="26"/>
        </w:rPr>
        <w:t>млн</w:t>
      </w:r>
      <w:proofErr w:type="gramEnd"/>
      <w:r w:rsidRPr="00882D12">
        <w:rPr>
          <w:sz w:val="26"/>
          <w:szCs w:val="26"/>
        </w:rPr>
        <w:t xml:space="preserve"> рублей кредитов кредитных организаций, 479,3 млн рублей бюджетных кредитов.</w:t>
      </w:r>
    </w:p>
    <w:p w:rsidR="00403095" w:rsidRPr="00882D12" w:rsidRDefault="00403095" w:rsidP="00882D12">
      <w:pPr>
        <w:spacing w:line="276" w:lineRule="auto"/>
        <w:ind w:firstLine="709"/>
        <w:jc w:val="both"/>
        <w:rPr>
          <w:sz w:val="26"/>
          <w:szCs w:val="26"/>
        </w:rPr>
      </w:pPr>
      <w:r w:rsidRPr="00882D12">
        <w:rPr>
          <w:sz w:val="26"/>
          <w:szCs w:val="26"/>
        </w:rPr>
        <w:t xml:space="preserve">Муниципальный долг увеличился за </w:t>
      </w:r>
      <w:r w:rsidR="00EF4F67" w:rsidRPr="00882D12">
        <w:rPr>
          <w:sz w:val="26"/>
          <w:szCs w:val="26"/>
        </w:rPr>
        <w:t>первое</w:t>
      </w:r>
      <w:r w:rsidRPr="00882D12">
        <w:rPr>
          <w:sz w:val="26"/>
          <w:szCs w:val="26"/>
        </w:rPr>
        <w:t xml:space="preserve"> полугодие </w:t>
      </w:r>
      <w:proofErr w:type="spellStart"/>
      <w:r w:rsidRPr="00882D12">
        <w:rPr>
          <w:sz w:val="26"/>
          <w:szCs w:val="26"/>
        </w:rPr>
        <w:t>т.г</w:t>
      </w:r>
      <w:proofErr w:type="spellEnd"/>
      <w:r w:rsidRPr="00882D12">
        <w:rPr>
          <w:sz w:val="26"/>
          <w:szCs w:val="26"/>
        </w:rPr>
        <w:t xml:space="preserve">. на 60,0 </w:t>
      </w:r>
      <w:proofErr w:type="gramStart"/>
      <w:r w:rsidRPr="00882D12">
        <w:rPr>
          <w:sz w:val="26"/>
          <w:szCs w:val="26"/>
        </w:rPr>
        <w:t>млн</w:t>
      </w:r>
      <w:proofErr w:type="gramEnd"/>
      <w:r w:rsidRPr="00882D12">
        <w:rPr>
          <w:sz w:val="26"/>
          <w:szCs w:val="26"/>
        </w:rPr>
        <w:t xml:space="preserve"> рублей и составил 2001,9 млн рублей. </w:t>
      </w:r>
    </w:p>
    <w:p w:rsidR="00521416" w:rsidRPr="00882D12" w:rsidRDefault="00FD29EA" w:rsidP="00882D12">
      <w:pPr>
        <w:spacing w:line="276" w:lineRule="auto"/>
        <w:ind w:firstLine="709"/>
        <w:jc w:val="both"/>
        <w:rPr>
          <w:sz w:val="26"/>
          <w:szCs w:val="26"/>
        </w:rPr>
      </w:pPr>
      <w:r w:rsidRPr="00882D12">
        <w:rPr>
          <w:sz w:val="26"/>
          <w:szCs w:val="26"/>
        </w:rPr>
        <w:t xml:space="preserve">Кредиторская задолженность за отчетный период сократилась на </w:t>
      </w:r>
      <w:r w:rsidR="004A779F" w:rsidRPr="00882D12">
        <w:rPr>
          <w:sz w:val="26"/>
          <w:szCs w:val="26"/>
        </w:rPr>
        <w:t xml:space="preserve">29,5% </w:t>
      </w:r>
      <w:r w:rsidRPr="00882D12">
        <w:rPr>
          <w:sz w:val="26"/>
          <w:szCs w:val="26"/>
        </w:rPr>
        <w:t xml:space="preserve">и составила </w:t>
      </w:r>
      <w:r w:rsidR="004A779F" w:rsidRPr="00882D12">
        <w:rPr>
          <w:sz w:val="26"/>
          <w:szCs w:val="26"/>
        </w:rPr>
        <w:t xml:space="preserve">742,6 </w:t>
      </w:r>
      <w:proofErr w:type="gramStart"/>
      <w:r w:rsidRPr="00882D12">
        <w:rPr>
          <w:sz w:val="26"/>
          <w:szCs w:val="26"/>
        </w:rPr>
        <w:t>млн</w:t>
      </w:r>
      <w:proofErr w:type="gramEnd"/>
      <w:r w:rsidRPr="00882D12">
        <w:rPr>
          <w:sz w:val="26"/>
          <w:szCs w:val="26"/>
        </w:rPr>
        <w:t xml:space="preserve"> рублей, из которых </w:t>
      </w:r>
      <w:r w:rsidR="004A779F" w:rsidRPr="00882D12">
        <w:rPr>
          <w:sz w:val="26"/>
          <w:szCs w:val="26"/>
        </w:rPr>
        <w:t xml:space="preserve">659,1 </w:t>
      </w:r>
      <w:r w:rsidRPr="00882D12">
        <w:rPr>
          <w:sz w:val="26"/>
          <w:szCs w:val="26"/>
        </w:rPr>
        <w:t>млн рублей (</w:t>
      </w:r>
      <w:r w:rsidR="004A779F" w:rsidRPr="00882D12">
        <w:rPr>
          <w:sz w:val="26"/>
          <w:szCs w:val="26"/>
        </w:rPr>
        <w:t>88,8</w:t>
      </w:r>
      <w:r w:rsidRPr="00882D12">
        <w:rPr>
          <w:sz w:val="26"/>
          <w:szCs w:val="26"/>
        </w:rPr>
        <w:t xml:space="preserve">%) </w:t>
      </w:r>
      <w:r w:rsidR="008F4C5E" w:rsidRPr="00882D12">
        <w:rPr>
          <w:sz w:val="26"/>
          <w:szCs w:val="26"/>
        </w:rPr>
        <w:t>–</w:t>
      </w:r>
      <w:r w:rsidRPr="00882D12">
        <w:rPr>
          <w:sz w:val="26"/>
          <w:szCs w:val="26"/>
        </w:rPr>
        <w:t xml:space="preserve"> долги по капитальному строительству и жилищно-коммунальному хозяйству, сократившиеся с начала года на </w:t>
      </w:r>
      <w:r w:rsidR="004A779F" w:rsidRPr="00882D12">
        <w:rPr>
          <w:sz w:val="26"/>
          <w:szCs w:val="26"/>
        </w:rPr>
        <w:t xml:space="preserve">301,0 </w:t>
      </w:r>
      <w:r w:rsidRPr="00882D12">
        <w:rPr>
          <w:sz w:val="26"/>
          <w:szCs w:val="26"/>
        </w:rPr>
        <w:t>млн рублей. Просроченная кредиторская задолженность по состоянию на 01.</w:t>
      </w:r>
      <w:r w:rsidR="00521416" w:rsidRPr="00882D12">
        <w:rPr>
          <w:sz w:val="26"/>
          <w:szCs w:val="26"/>
        </w:rPr>
        <w:t>0</w:t>
      </w:r>
      <w:r w:rsidR="004A779F" w:rsidRPr="00882D12">
        <w:rPr>
          <w:sz w:val="26"/>
          <w:szCs w:val="26"/>
        </w:rPr>
        <w:t>7</w:t>
      </w:r>
      <w:r w:rsidRPr="00882D12">
        <w:rPr>
          <w:sz w:val="26"/>
          <w:szCs w:val="26"/>
        </w:rPr>
        <w:t>.201</w:t>
      </w:r>
      <w:r w:rsidR="00521416" w:rsidRPr="00882D12">
        <w:rPr>
          <w:sz w:val="26"/>
          <w:szCs w:val="26"/>
        </w:rPr>
        <w:t>5</w:t>
      </w:r>
      <w:r w:rsidRPr="00882D12">
        <w:rPr>
          <w:sz w:val="26"/>
          <w:szCs w:val="26"/>
        </w:rPr>
        <w:t xml:space="preserve"> составляет </w:t>
      </w:r>
      <w:r w:rsidR="004A779F" w:rsidRPr="00882D12">
        <w:rPr>
          <w:sz w:val="26"/>
          <w:szCs w:val="26"/>
        </w:rPr>
        <w:t>119,7</w:t>
      </w:r>
      <w:r w:rsidRPr="00882D12">
        <w:rPr>
          <w:sz w:val="26"/>
          <w:szCs w:val="26"/>
        </w:rPr>
        <w:t xml:space="preserve"> </w:t>
      </w:r>
      <w:proofErr w:type="gramStart"/>
      <w:r w:rsidRPr="00882D12">
        <w:rPr>
          <w:sz w:val="26"/>
          <w:szCs w:val="26"/>
        </w:rPr>
        <w:t>млн</w:t>
      </w:r>
      <w:proofErr w:type="gramEnd"/>
      <w:r w:rsidRPr="00882D12">
        <w:rPr>
          <w:sz w:val="26"/>
          <w:szCs w:val="26"/>
        </w:rPr>
        <w:t xml:space="preserve"> рублей</w:t>
      </w:r>
      <w:r w:rsidR="009D63CA" w:rsidRPr="00882D12">
        <w:rPr>
          <w:sz w:val="26"/>
          <w:szCs w:val="26"/>
        </w:rPr>
        <w:t>.</w:t>
      </w:r>
    </w:p>
    <w:p w:rsidR="00D9304D" w:rsidRPr="00882D12" w:rsidRDefault="00521416" w:rsidP="00882D12">
      <w:pPr>
        <w:spacing w:line="276" w:lineRule="auto"/>
        <w:ind w:firstLine="709"/>
        <w:jc w:val="both"/>
        <w:rPr>
          <w:sz w:val="26"/>
          <w:szCs w:val="26"/>
        </w:rPr>
      </w:pPr>
      <w:r w:rsidRPr="00882D12">
        <w:rPr>
          <w:sz w:val="26"/>
          <w:szCs w:val="26"/>
        </w:rPr>
        <w:t xml:space="preserve">По мнению Контрольно-счетной палаты </w:t>
      </w:r>
      <w:r w:rsidR="00924D5B" w:rsidRPr="00882D12">
        <w:rPr>
          <w:sz w:val="26"/>
          <w:szCs w:val="26"/>
        </w:rPr>
        <w:t>существуют</w:t>
      </w:r>
      <w:r w:rsidRPr="00882D12">
        <w:rPr>
          <w:sz w:val="26"/>
          <w:szCs w:val="26"/>
        </w:rPr>
        <w:t xml:space="preserve"> риски роста долговых обязательств и возникновения неэффективных расходов бюджета города по исполнению судебных решений. </w:t>
      </w:r>
    </w:p>
    <w:p w:rsidR="008F07D9" w:rsidRPr="00882D12" w:rsidRDefault="008F07D9" w:rsidP="00882D12">
      <w:pPr>
        <w:spacing w:line="276" w:lineRule="auto"/>
        <w:jc w:val="center"/>
        <w:rPr>
          <w:b/>
          <w:sz w:val="26"/>
          <w:szCs w:val="26"/>
        </w:rPr>
      </w:pPr>
    </w:p>
    <w:p w:rsidR="00FF7762" w:rsidRPr="00882D12" w:rsidRDefault="00FF7762" w:rsidP="00882D12">
      <w:pPr>
        <w:spacing w:line="276" w:lineRule="auto"/>
        <w:jc w:val="center"/>
        <w:rPr>
          <w:b/>
          <w:sz w:val="26"/>
          <w:szCs w:val="26"/>
        </w:rPr>
      </w:pPr>
      <w:r w:rsidRPr="00882D12">
        <w:rPr>
          <w:b/>
          <w:sz w:val="26"/>
          <w:szCs w:val="26"/>
        </w:rPr>
        <w:t>Предложения</w:t>
      </w:r>
    </w:p>
    <w:p w:rsidR="006B6E4A" w:rsidRPr="00882D12" w:rsidRDefault="00FF7762" w:rsidP="00882D12">
      <w:pPr>
        <w:spacing w:line="276" w:lineRule="auto"/>
        <w:ind w:firstLine="851"/>
        <w:jc w:val="both"/>
        <w:rPr>
          <w:sz w:val="26"/>
          <w:szCs w:val="26"/>
        </w:rPr>
      </w:pPr>
      <w:r w:rsidRPr="00882D12">
        <w:rPr>
          <w:sz w:val="26"/>
          <w:szCs w:val="26"/>
        </w:rPr>
        <w:t>Контрольно-счетная палата рекомендует Вологодской городской Думе предложить Администрации города Вологды</w:t>
      </w:r>
      <w:r w:rsidR="00621F1E" w:rsidRPr="00882D12">
        <w:rPr>
          <w:sz w:val="26"/>
          <w:szCs w:val="26"/>
        </w:rPr>
        <w:t xml:space="preserve"> </w:t>
      </w:r>
      <w:r w:rsidR="00406D02" w:rsidRPr="00882D12">
        <w:rPr>
          <w:sz w:val="26"/>
          <w:szCs w:val="26"/>
        </w:rPr>
        <w:t>принять меры по</w:t>
      </w:r>
      <w:r w:rsidR="00F01637" w:rsidRPr="00882D12">
        <w:rPr>
          <w:sz w:val="26"/>
          <w:szCs w:val="26"/>
        </w:rPr>
        <w:t xml:space="preserve"> дальнейшему</w:t>
      </w:r>
      <w:r w:rsidR="00406D02" w:rsidRPr="00882D12">
        <w:rPr>
          <w:sz w:val="26"/>
          <w:szCs w:val="26"/>
        </w:rPr>
        <w:t xml:space="preserve"> снижению кредиторской задолженности.</w:t>
      </w:r>
      <w:bookmarkStart w:id="0" w:name="_GoBack"/>
      <w:bookmarkEnd w:id="0"/>
    </w:p>
    <w:sectPr w:rsidR="006B6E4A" w:rsidRPr="00882D12" w:rsidSect="008F1139">
      <w:headerReference w:type="default" r:id="rId9"/>
      <w:pgSz w:w="11906" w:h="16838"/>
      <w:pgMar w:top="1134" w:right="709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CBC" w:rsidRDefault="003F5CBC" w:rsidP="005E369A">
      <w:r>
        <w:separator/>
      </w:r>
    </w:p>
  </w:endnote>
  <w:endnote w:type="continuationSeparator" w:id="0">
    <w:p w:rsidR="003F5CBC" w:rsidRDefault="003F5CBC" w:rsidP="005E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CBC" w:rsidRDefault="003F5CBC" w:rsidP="005E369A">
      <w:r>
        <w:separator/>
      </w:r>
    </w:p>
  </w:footnote>
  <w:footnote w:type="continuationSeparator" w:id="0">
    <w:p w:rsidR="003F5CBC" w:rsidRDefault="003F5CBC" w:rsidP="005E3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325772"/>
      <w:docPartObj>
        <w:docPartGallery w:val="Page Numbers (Top of Page)"/>
        <w:docPartUnique/>
      </w:docPartObj>
    </w:sdtPr>
    <w:sdtEndPr/>
    <w:sdtContent>
      <w:p w:rsidR="005E369A" w:rsidRDefault="005E36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C55">
          <w:rPr>
            <w:noProof/>
          </w:rPr>
          <w:t>6</w:t>
        </w:r>
        <w:r>
          <w:fldChar w:fldCharType="end"/>
        </w:r>
      </w:p>
    </w:sdtContent>
  </w:sdt>
  <w:p w:rsidR="005E369A" w:rsidRDefault="005E36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B2281"/>
    <w:multiLevelType w:val="hybridMultilevel"/>
    <w:tmpl w:val="37BC758C"/>
    <w:lvl w:ilvl="0" w:tplc="38C659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EB"/>
    <w:rsid w:val="000021C2"/>
    <w:rsid w:val="00003CC8"/>
    <w:rsid w:val="000061AD"/>
    <w:rsid w:val="00010094"/>
    <w:rsid w:val="00010AF5"/>
    <w:rsid w:val="00013781"/>
    <w:rsid w:val="00015087"/>
    <w:rsid w:val="00016F88"/>
    <w:rsid w:val="00017730"/>
    <w:rsid w:val="00025439"/>
    <w:rsid w:val="000322A9"/>
    <w:rsid w:val="00032C5D"/>
    <w:rsid w:val="0003424A"/>
    <w:rsid w:val="0004093B"/>
    <w:rsid w:val="00040B81"/>
    <w:rsid w:val="00043428"/>
    <w:rsid w:val="000436D5"/>
    <w:rsid w:val="0004488A"/>
    <w:rsid w:val="00051E0E"/>
    <w:rsid w:val="00052ECB"/>
    <w:rsid w:val="00057F36"/>
    <w:rsid w:val="00061665"/>
    <w:rsid w:val="0006198B"/>
    <w:rsid w:val="00062667"/>
    <w:rsid w:val="0006469F"/>
    <w:rsid w:val="00065FDC"/>
    <w:rsid w:val="00066215"/>
    <w:rsid w:val="00070F66"/>
    <w:rsid w:val="000714A7"/>
    <w:rsid w:val="000715BB"/>
    <w:rsid w:val="0007205E"/>
    <w:rsid w:val="0007705E"/>
    <w:rsid w:val="000815DB"/>
    <w:rsid w:val="00092995"/>
    <w:rsid w:val="0009428C"/>
    <w:rsid w:val="00095164"/>
    <w:rsid w:val="00095D85"/>
    <w:rsid w:val="00095EC8"/>
    <w:rsid w:val="00096BBC"/>
    <w:rsid w:val="000B2E02"/>
    <w:rsid w:val="000B4CFF"/>
    <w:rsid w:val="000C20C7"/>
    <w:rsid w:val="000C2AA9"/>
    <w:rsid w:val="000C5187"/>
    <w:rsid w:val="000C7601"/>
    <w:rsid w:val="000D09D6"/>
    <w:rsid w:val="000D216E"/>
    <w:rsid w:val="000E1472"/>
    <w:rsid w:val="000E2BA0"/>
    <w:rsid w:val="000E5336"/>
    <w:rsid w:val="000F0CEA"/>
    <w:rsid w:val="000F29FC"/>
    <w:rsid w:val="000F5680"/>
    <w:rsid w:val="000F7A79"/>
    <w:rsid w:val="001016D1"/>
    <w:rsid w:val="00102170"/>
    <w:rsid w:val="001058F0"/>
    <w:rsid w:val="00105CFC"/>
    <w:rsid w:val="00112171"/>
    <w:rsid w:val="001142F5"/>
    <w:rsid w:val="001146FA"/>
    <w:rsid w:val="00120C95"/>
    <w:rsid w:val="00121F67"/>
    <w:rsid w:val="001257B0"/>
    <w:rsid w:val="00125A06"/>
    <w:rsid w:val="00126127"/>
    <w:rsid w:val="00127D5F"/>
    <w:rsid w:val="001307B2"/>
    <w:rsid w:val="00137D35"/>
    <w:rsid w:val="00142909"/>
    <w:rsid w:val="00147863"/>
    <w:rsid w:val="00147ED6"/>
    <w:rsid w:val="00151D03"/>
    <w:rsid w:val="00163366"/>
    <w:rsid w:val="001635AB"/>
    <w:rsid w:val="001661FB"/>
    <w:rsid w:val="00167562"/>
    <w:rsid w:val="0017223B"/>
    <w:rsid w:val="00175171"/>
    <w:rsid w:val="00175BA9"/>
    <w:rsid w:val="00176467"/>
    <w:rsid w:val="00187E2F"/>
    <w:rsid w:val="001924A9"/>
    <w:rsid w:val="001949DB"/>
    <w:rsid w:val="001965ED"/>
    <w:rsid w:val="001A22ED"/>
    <w:rsid w:val="001A48DB"/>
    <w:rsid w:val="001B1E48"/>
    <w:rsid w:val="001B3BA7"/>
    <w:rsid w:val="001B5A32"/>
    <w:rsid w:val="001C10A5"/>
    <w:rsid w:val="001C6D72"/>
    <w:rsid w:val="001D6EF6"/>
    <w:rsid w:val="001E28B4"/>
    <w:rsid w:val="001E5485"/>
    <w:rsid w:val="001E6A7F"/>
    <w:rsid w:val="001F111C"/>
    <w:rsid w:val="001F1EBB"/>
    <w:rsid w:val="00204CCF"/>
    <w:rsid w:val="00205B1A"/>
    <w:rsid w:val="00206D2E"/>
    <w:rsid w:val="00207142"/>
    <w:rsid w:val="00211A9C"/>
    <w:rsid w:val="00212FDA"/>
    <w:rsid w:val="00215946"/>
    <w:rsid w:val="00220DCC"/>
    <w:rsid w:val="0022266F"/>
    <w:rsid w:val="00227D88"/>
    <w:rsid w:val="002350A4"/>
    <w:rsid w:val="002350D2"/>
    <w:rsid w:val="00237B08"/>
    <w:rsid w:val="0024004C"/>
    <w:rsid w:val="00241906"/>
    <w:rsid w:val="00241CC7"/>
    <w:rsid w:val="002444E3"/>
    <w:rsid w:val="00256AA1"/>
    <w:rsid w:val="002572C6"/>
    <w:rsid w:val="0026026E"/>
    <w:rsid w:val="002613FC"/>
    <w:rsid w:val="0026319C"/>
    <w:rsid w:val="00264017"/>
    <w:rsid w:val="00265EE2"/>
    <w:rsid w:val="002675BD"/>
    <w:rsid w:val="0027759F"/>
    <w:rsid w:val="00281F27"/>
    <w:rsid w:val="00283F15"/>
    <w:rsid w:val="00287628"/>
    <w:rsid w:val="002926F2"/>
    <w:rsid w:val="00293E3B"/>
    <w:rsid w:val="00294771"/>
    <w:rsid w:val="002A31F0"/>
    <w:rsid w:val="002A5741"/>
    <w:rsid w:val="002B355A"/>
    <w:rsid w:val="002B622E"/>
    <w:rsid w:val="002B6256"/>
    <w:rsid w:val="002B73F3"/>
    <w:rsid w:val="002C2406"/>
    <w:rsid w:val="002C7F67"/>
    <w:rsid w:val="002D015C"/>
    <w:rsid w:val="002D23A8"/>
    <w:rsid w:val="002D278E"/>
    <w:rsid w:val="002D543B"/>
    <w:rsid w:val="002D6127"/>
    <w:rsid w:val="002D7E32"/>
    <w:rsid w:val="002F31B5"/>
    <w:rsid w:val="002F3CFC"/>
    <w:rsid w:val="002F4CAB"/>
    <w:rsid w:val="002F56FD"/>
    <w:rsid w:val="002F5DEC"/>
    <w:rsid w:val="00304DFC"/>
    <w:rsid w:val="00310B30"/>
    <w:rsid w:val="00317FBE"/>
    <w:rsid w:val="00323501"/>
    <w:rsid w:val="00324651"/>
    <w:rsid w:val="00324654"/>
    <w:rsid w:val="00326648"/>
    <w:rsid w:val="00330449"/>
    <w:rsid w:val="003309C8"/>
    <w:rsid w:val="00333409"/>
    <w:rsid w:val="003345A6"/>
    <w:rsid w:val="0033707E"/>
    <w:rsid w:val="00343762"/>
    <w:rsid w:val="0034602A"/>
    <w:rsid w:val="00351133"/>
    <w:rsid w:val="003512A6"/>
    <w:rsid w:val="0035179E"/>
    <w:rsid w:val="00354941"/>
    <w:rsid w:val="00360AAF"/>
    <w:rsid w:val="003624C4"/>
    <w:rsid w:val="003632F6"/>
    <w:rsid w:val="00365365"/>
    <w:rsid w:val="00367AA1"/>
    <w:rsid w:val="003700E9"/>
    <w:rsid w:val="0037699C"/>
    <w:rsid w:val="00380E48"/>
    <w:rsid w:val="00382A41"/>
    <w:rsid w:val="003841C1"/>
    <w:rsid w:val="0038614E"/>
    <w:rsid w:val="0038648A"/>
    <w:rsid w:val="0038691C"/>
    <w:rsid w:val="00386CC8"/>
    <w:rsid w:val="003875C2"/>
    <w:rsid w:val="003912B3"/>
    <w:rsid w:val="0039254D"/>
    <w:rsid w:val="003942FA"/>
    <w:rsid w:val="003A22A4"/>
    <w:rsid w:val="003B4432"/>
    <w:rsid w:val="003C0CEA"/>
    <w:rsid w:val="003C2D79"/>
    <w:rsid w:val="003C4005"/>
    <w:rsid w:val="003C52DE"/>
    <w:rsid w:val="003D2091"/>
    <w:rsid w:val="003E0D75"/>
    <w:rsid w:val="003E4865"/>
    <w:rsid w:val="003E518A"/>
    <w:rsid w:val="003E689B"/>
    <w:rsid w:val="003F2B2F"/>
    <w:rsid w:val="003F5718"/>
    <w:rsid w:val="003F5CBC"/>
    <w:rsid w:val="003F5F7B"/>
    <w:rsid w:val="00401505"/>
    <w:rsid w:val="004027CA"/>
    <w:rsid w:val="00402E0E"/>
    <w:rsid w:val="00403095"/>
    <w:rsid w:val="00404EFC"/>
    <w:rsid w:val="00404FEB"/>
    <w:rsid w:val="004063DC"/>
    <w:rsid w:val="00406D02"/>
    <w:rsid w:val="004105DF"/>
    <w:rsid w:val="0041207D"/>
    <w:rsid w:val="00422C92"/>
    <w:rsid w:val="00425B59"/>
    <w:rsid w:val="004263EE"/>
    <w:rsid w:val="004268A0"/>
    <w:rsid w:val="00426927"/>
    <w:rsid w:val="00426C1B"/>
    <w:rsid w:val="00427939"/>
    <w:rsid w:val="00431D31"/>
    <w:rsid w:val="00443D09"/>
    <w:rsid w:val="004443A2"/>
    <w:rsid w:val="00447864"/>
    <w:rsid w:val="0045057A"/>
    <w:rsid w:val="00455F4F"/>
    <w:rsid w:val="00460079"/>
    <w:rsid w:val="00460EC9"/>
    <w:rsid w:val="0046194B"/>
    <w:rsid w:val="00466F6F"/>
    <w:rsid w:val="00470701"/>
    <w:rsid w:val="004768FB"/>
    <w:rsid w:val="00484208"/>
    <w:rsid w:val="00484AC8"/>
    <w:rsid w:val="00491B66"/>
    <w:rsid w:val="004935EB"/>
    <w:rsid w:val="004A1E58"/>
    <w:rsid w:val="004A2B9A"/>
    <w:rsid w:val="004A4164"/>
    <w:rsid w:val="004A6D52"/>
    <w:rsid w:val="004A6F94"/>
    <w:rsid w:val="004A779F"/>
    <w:rsid w:val="004B7003"/>
    <w:rsid w:val="004B76D7"/>
    <w:rsid w:val="004C1157"/>
    <w:rsid w:val="004C2891"/>
    <w:rsid w:val="004C3DDF"/>
    <w:rsid w:val="004C3FFA"/>
    <w:rsid w:val="004C46AD"/>
    <w:rsid w:val="004C6303"/>
    <w:rsid w:val="004C6B7F"/>
    <w:rsid w:val="004C7343"/>
    <w:rsid w:val="004D028A"/>
    <w:rsid w:val="004D0629"/>
    <w:rsid w:val="004E10F7"/>
    <w:rsid w:val="004E1334"/>
    <w:rsid w:val="004E2069"/>
    <w:rsid w:val="004E2A3D"/>
    <w:rsid w:val="004E5815"/>
    <w:rsid w:val="004E657F"/>
    <w:rsid w:val="004E6842"/>
    <w:rsid w:val="004E6860"/>
    <w:rsid w:val="004F6927"/>
    <w:rsid w:val="004F7755"/>
    <w:rsid w:val="00501EC2"/>
    <w:rsid w:val="005036A6"/>
    <w:rsid w:val="005057BE"/>
    <w:rsid w:val="00505D7E"/>
    <w:rsid w:val="00507795"/>
    <w:rsid w:val="00515A0F"/>
    <w:rsid w:val="00521416"/>
    <w:rsid w:val="00525A2D"/>
    <w:rsid w:val="00526EF1"/>
    <w:rsid w:val="005270B3"/>
    <w:rsid w:val="00534BF4"/>
    <w:rsid w:val="005378C1"/>
    <w:rsid w:val="0054366E"/>
    <w:rsid w:val="00544C28"/>
    <w:rsid w:val="00545AB9"/>
    <w:rsid w:val="00547444"/>
    <w:rsid w:val="005507F2"/>
    <w:rsid w:val="005523A5"/>
    <w:rsid w:val="00553FB1"/>
    <w:rsid w:val="00553FBC"/>
    <w:rsid w:val="00556CEC"/>
    <w:rsid w:val="005604A7"/>
    <w:rsid w:val="00561B4B"/>
    <w:rsid w:val="00563332"/>
    <w:rsid w:val="00567370"/>
    <w:rsid w:val="00577559"/>
    <w:rsid w:val="00582B20"/>
    <w:rsid w:val="00584DE5"/>
    <w:rsid w:val="0058733A"/>
    <w:rsid w:val="00590404"/>
    <w:rsid w:val="00590E51"/>
    <w:rsid w:val="00594692"/>
    <w:rsid w:val="00594EB6"/>
    <w:rsid w:val="0059527B"/>
    <w:rsid w:val="005A2CEF"/>
    <w:rsid w:val="005A3876"/>
    <w:rsid w:val="005A3B7B"/>
    <w:rsid w:val="005B4604"/>
    <w:rsid w:val="005B4D0A"/>
    <w:rsid w:val="005B5A17"/>
    <w:rsid w:val="005B6032"/>
    <w:rsid w:val="005C100A"/>
    <w:rsid w:val="005C1275"/>
    <w:rsid w:val="005D3432"/>
    <w:rsid w:val="005D34AF"/>
    <w:rsid w:val="005D5EDF"/>
    <w:rsid w:val="005D69BB"/>
    <w:rsid w:val="005D6BD3"/>
    <w:rsid w:val="005E2C67"/>
    <w:rsid w:val="005E2E55"/>
    <w:rsid w:val="005E2EA4"/>
    <w:rsid w:val="005E369A"/>
    <w:rsid w:val="005E47D6"/>
    <w:rsid w:val="005E57CA"/>
    <w:rsid w:val="005F00B6"/>
    <w:rsid w:val="005F2173"/>
    <w:rsid w:val="005F4848"/>
    <w:rsid w:val="00607139"/>
    <w:rsid w:val="006110ED"/>
    <w:rsid w:val="00612774"/>
    <w:rsid w:val="00612C30"/>
    <w:rsid w:val="00621F1E"/>
    <w:rsid w:val="00624026"/>
    <w:rsid w:val="006258AD"/>
    <w:rsid w:val="006267ED"/>
    <w:rsid w:val="00631186"/>
    <w:rsid w:val="00633ACA"/>
    <w:rsid w:val="00634D7D"/>
    <w:rsid w:val="006360D2"/>
    <w:rsid w:val="00637F73"/>
    <w:rsid w:val="00640C66"/>
    <w:rsid w:val="00641CB6"/>
    <w:rsid w:val="00642180"/>
    <w:rsid w:val="0065239F"/>
    <w:rsid w:val="00656A1D"/>
    <w:rsid w:val="00661305"/>
    <w:rsid w:val="00664CF1"/>
    <w:rsid w:val="00666A58"/>
    <w:rsid w:val="00667750"/>
    <w:rsid w:val="0067205C"/>
    <w:rsid w:val="00672C15"/>
    <w:rsid w:val="0067466C"/>
    <w:rsid w:val="00676811"/>
    <w:rsid w:val="00677362"/>
    <w:rsid w:val="00691EFC"/>
    <w:rsid w:val="006944CF"/>
    <w:rsid w:val="006A06E9"/>
    <w:rsid w:val="006A7A9A"/>
    <w:rsid w:val="006B1BB4"/>
    <w:rsid w:val="006B21FC"/>
    <w:rsid w:val="006B36B6"/>
    <w:rsid w:val="006B39E2"/>
    <w:rsid w:val="006B51D9"/>
    <w:rsid w:val="006B6E4A"/>
    <w:rsid w:val="006B716A"/>
    <w:rsid w:val="006C3509"/>
    <w:rsid w:val="006C397A"/>
    <w:rsid w:val="006C594C"/>
    <w:rsid w:val="006C59AF"/>
    <w:rsid w:val="006C5FE7"/>
    <w:rsid w:val="006C6DBA"/>
    <w:rsid w:val="006C7DF5"/>
    <w:rsid w:val="006D08EF"/>
    <w:rsid w:val="006D0B1A"/>
    <w:rsid w:val="006D28FD"/>
    <w:rsid w:val="006D5B4B"/>
    <w:rsid w:val="006D70DC"/>
    <w:rsid w:val="006D73A6"/>
    <w:rsid w:val="006E7688"/>
    <w:rsid w:val="006F0DE5"/>
    <w:rsid w:val="006F156D"/>
    <w:rsid w:val="006F42D6"/>
    <w:rsid w:val="006F5F01"/>
    <w:rsid w:val="006F6159"/>
    <w:rsid w:val="006F7B54"/>
    <w:rsid w:val="00702272"/>
    <w:rsid w:val="00702E58"/>
    <w:rsid w:val="00705DE9"/>
    <w:rsid w:val="00707030"/>
    <w:rsid w:val="0070748E"/>
    <w:rsid w:val="00713901"/>
    <w:rsid w:val="0071529D"/>
    <w:rsid w:val="00716750"/>
    <w:rsid w:val="007167E2"/>
    <w:rsid w:val="0071790C"/>
    <w:rsid w:val="00720149"/>
    <w:rsid w:val="00720BCB"/>
    <w:rsid w:val="00723DC8"/>
    <w:rsid w:val="00723EB8"/>
    <w:rsid w:val="007251DF"/>
    <w:rsid w:val="00726041"/>
    <w:rsid w:val="00727464"/>
    <w:rsid w:val="00734A35"/>
    <w:rsid w:val="00735120"/>
    <w:rsid w:val="00736663"/>
    <w:rsid w:val="00736F5C"/>
    <w:rsid w:val="0074013F"/>
    <w:rsid w:val="0074232E"/>
    <w:rsid w:val="00742F09"/>
    <w:rsid w:val="00745F05"/>
    <w:rsid w:val="00746236"/>
    <w:rsid w:val="00754061"/>
    <w:rsid w:val="00754467"/>
    <w:rsid w:val="00756F43"/>
    <w:rsid w:val="00760225"/>
    <w:rsid w:val="007650B4"/>
    <w:rsid w:val="00767701"/>
    <w:rsid w:val="00770A6A"/>
    <w:rsid w:val="007730A0"/>
    <w:rsid w:val="00774A99"/>
    <w:rsid w:val="007752EC"/>
    <w:rsid w:val="00775A66"/>
    <w:rsid w:val="00777F15"/>
    <w:rsid w:val="00782D79"/>
    <w:rsid w:val="00783CCF"/>
    <w:rsid w:val="00787BFE"/>
    <w:rsid w:val="00790AB8"/>
    <w:rsid w:val="00791305"/>
    <w:rsid w:val="00791530"/>
    <w:rsid w:val="0079545B"/>
    <w:rsid w:val="0079781F"/>
    <w:rsid w:val="007A0236"/>
    <w:rsid w:val="007A4AB4"/>
    <w:rsid w:val="007B2F5D"/>
    <w:rsid w:val="007B4133"/>
    <w:rsid w:val="007B53FC"/>
    <w:rsid w:val="007C16CB"/>
    <w:rsid w:val="007C279E"/>
    <w:rsid w:val="007C2A46"/>
    <w:rsid w:val="007C2BAF"/>
    <w:rsid w:val="007C48F4"/>
    <w:rsid w:val="007C593A"/>
    <w:rsid w:val="007C62CC"/>
    <w:rsid w:val="007C7B05"/>
    <w:rsid w:val="007D1AD0"/>
    <w:rsid w:val="007D2695"/>
    <w:rsid w:val="007D4586"/>
    <w:rsid w:val="007D5A96"/>
    <w:rsid w:val="007E18E9"/>
    <w:rsid w:val="007E1CBC"/>
    <w:rsid w:val="007E1EBA"/>
    <w:rsid w:val="007E6431"/>
    <w:rsid w:val="007F1F3A"/>
    <w:rsid w:val="007F36BC"/>
    <w:rsid w:val="007F4AF8"/>
    <w:rsid w:val="007F52D7"/>
    <w:rsid w:val="0080421F"/>
    <w:rsid w:val="00804D44"/>
    <w:rsid w:val="00805363"/>
    <w:rsid w:val="00805472"/>
    <w:rsid w:val="00810AFB"/>
    <w:rsid w:val="00813E26"/>
    <w:rsid w:val="00820157"/>
    <w:rsid w:val="008245BB"/>
    <w:rsid w:val="0082650E"/>
    <w:rsid w:val="0082714E"/>
    <w:rsid w:val="008318B0"/>
    <w:rsid w:val="00832159"/>
    <w:rsid w:val="0083346A"/>
    <w:rsid w:val="00833CB2"/>
    <w:rsid w:val="0083541E"/>
    <w:rsid w:val="00835438"/>
    <w:rsid w:val="00841D9F"/>
    <w:rsid w:val="00844786"/>
    <w:rsid w:val="00845D5D"/>
    <w:rsid w:val="008511CD"/>
    <w:rsid w:val="00852E89"/>
    <w:rsid w:val="00853EE1"/>
    <w:rsid w:val="00855D80"/>
    <w:rsid w:val="008609AF"/>
    <w:rsid w:val="00863534"/>
    <w:rsid w:val="00864B39"/>
    <w:rsid w:val="00873E05"/>
    <w:rsid w:val="0087754E"/>
    <w:rsid w:val="00880B04"/>
    <w:rsid w:val="008814C5"/>
    <w:rsid w:val="00882ADE"/>
    <w:rsid w:val="00882D12"/>
    <w:rsid w:val="0088536A"/>
    <w:rsid w:val="008857C3"/>
    <w:rsid w:val="00886FCE"/>
    <w:rsid w:val="00890B0D"/>
    <w:rsid w:val="00891250"/>
    <w:rsid w:val="008918D1"/>
    <w:rsid w:val="00896C4F"/>
    <w:rsid w:val="008A2020"/>
    <w:rsid w:val="008A3269"/>
    <w:rsid w:val="008A6515"/>
    <w:rsid w:val="008B0E4B"/>
    <w:rsid w:val="008B1EB5"/>
    <w:rsid w:val="008B27C9"/>
    <w:rsid w:val="008B69F2"/>
    <w:rsid w:val="008C15F2"/>
    <w:rsid w:val="008C354C"/>
    <w:rsid w:val="008D31A0"/>
    <w:rsid w:val="008D3DBC"/>
    <w:rsid w:val="008D65C3"/>
    <w:rsid w:val="008D77E0"/>
    <w:rsid w:val="008E5B00"/>
    <w:rsid w:val="008F07D9"/>
    <w:rsid w:val="008F0F56"/>
    <w:rsid w:val="008F1139"/>
    <w:rsid w:val="008F4C5E"/>
    <w:rsid w:val="008F68B9"/>
    <w:rsid w:val="008F6DD2"/>
    <w:rsid w:val="00903E47"/>
    <w:rsid w:val="009077A8"/>
    <w:rsid w:val="009117C2"/>
    <w:rsid w:val="009125FB"/>
    <w:rsid w:val="00921F1F"/>
    <w:rsid w:val="009224CF"/>
    <w:rsid w:val="00924D5B"/>
    <w:rsid w:val="009272E2"/>
    <w:rsid w:val="009308BB"/>
    <w:rsid w:val="009326AE"/>
    <w:rsid w:val="009405E0"/>
    <w:rsid w:val="00941844"/>
    <w:rsid w:val="009448F3"/>
    <w:rsid w:val="00944974"/>
    <w:rsid w:val="009456D4"/>
    <w:rsid w:val="009461F0"/>
    <w:rsid w:val="00951B1E"/>
    <w:rsid w:val="00956767"/>
    <w:rsid w:val="009567D7"/>
    <w:rsid w:val="0096177E"/>
    <w:rsid w:val="00964722"/>
    <w:rsid w:val="009665F2"/>
    <w:rsid w:val="0097115F"/>
    <w:rsid w:val="0097318F"/>
    <w:rsid w:val="009736D4"/>
    <w:rsid w:val="00973FD8"/>
    <w:rsid w:val="00974CA8"/>
    <w:rsid w:val="00981175"/>
    <w:rsid w:val="00990A46"/>
    <w:rsid w:val="009918B3"/>
    <w:rsid w:val="00992F7B"/>
    <w:rsid w:val="00996FF4"/>
    <w:rsid w:val="00997EEE"/>
    <w:rsid w:val="009A0D6B"/>
    <w:rsid w:val="009A1A38"/>
    <w:rsid w:val="009A311A"/>
    <w:rsid w:val="009A4A91"/>
    <w:rsid w:val="009B0634"/>
    <w:rsid w:val="009B07D3"/>
    <w:rsid w:val="009B12FE"/>
    <w:rsid w:val="009B248D"/>
    <w:rsid w:val="009B4C8B"/>
    <w:rsid w:val="009B52D9"/>
    <w:rsid w:val="009C49C1"/>
    <w:rsid w:val="009C6D1A"/>
    <w:rsid w:val="009D0E9B"/>
    <w:rsid w:val="009D1884"/>
    <w:rsid w:val="009D241B"/>
    <w:rsid w:val="009D4E09"/>
    <w:rsid w:val="009D55E2"/>
    <w:rsid w:val="009D61AF"/>
    <w:rsid w:val="009D63CA"/>
    <w:rsid w:val="009E2919"/>
    <w:rsid w:val="009E3651"/>
    <w:rsid w:val="009E74EE"/>
    <w:rsid w:val="009F1474"/>
    <w:rsid w:val="009F33C5"/>
    <w:rsid w:val="009F39D4"/>
    <w:rsid w:val="009F61EB"/>
    <w:rsid w:val="00A0060C"/>
    <w:rsid w:val="00A03EF8"/>
    <w:rsid w:val="00A06821"/>
    <w:rsid w:val="00A1597E"/>
    <w:rsid w:val="00A2198F"/>
    <w:rsid w:val="00A242B5"/>
    <w:rsid w:val="00A300A4"/>
    <w:rsid w:val="00A41443"/>
    <w:rsid w:val="00A450DD"/>
    <w:rsid w:val="00A46569"/>
    <w:rsid w:val="00A47FEC"/>
    <w:rsid w:val="00A503D7"/>
    <w:rsid w:val="00A5080C"/>
    <w:rsid w:val="00A51230"/>
    <w:rsid w:val="00A513F7"/>
    <w:rsid w:val="00A5303D"/>
    <w:rsid w:val="00A61764"/>
    <w:rsid w:val="00A63EB8"/>
    <w:rsid w:val="00A65809"/>
    <w:rsid w:val="00A71ACE"/>
    <w:rsid w:val="00A74F7C"/>
    <w:rsid w:val="00A763AD"/>
    <w:rsid w:val="00A76B4A"/>
    <w:rsid w:val="00A771AF"/>
    <w:rsid w:val="00A77BEC"/>
    <w:rsid w:val="00A8316C"/>
    <w:rsid w:val="00A85D9B"/>
    <w:rsid w:val="00A86F0A"/>
    <w:rsid w:val="00A874A4"/>
    <w:rsid w:val="00A87BDB"/>
    <w:rsid w:val="00A93A4B"/>
    <w:rsid w:val="00A95B86"/>
    <w:rsid w:val="00AA07D6"/>
    <w:rsid w:val="00AA09EF"/>
    <w:rsid w:val="00AA15E3"/>
    <w:rsid w:val="00AA1A3D"/>
    <w:rsid w:val="00AA4242"/>
    <w:rsid w:val="00AB1864"/>
    <w:rsid w:val="00AB256C"/>
    <w:rsid w:val="00AB35A6"/>
    <w:rsid w:val="00AC0690"/>
    <w:rsid w:val="00AC3AC4"/>
    <w:rsid w:val="00AC4070"/>
    <w:rsid w:val="00AC73F1"/>
    <w:rsid w:val="00AD333F"/>
    <w:rsid w:val="00AD47B6"/>
    <w:rsid w:val="00AD6B38"/>
    <w:rsid w:val="00AD75E2"/>
    <w:rsid w:val="00AE04B4"/>
    <w:rsid w:val="00AE2A8D"/>
    <w:rsid w:val="00AF3A84"/>
    <w:rsid w:val="00AF622B"/>
    <w:rsid w:val="00AF6AB8"/>
    <w:rsid w:val="00B10EE4"/>
    <w:rsid w:val="00B12E22"/>
    <w:rsid w:val="00B13D4D"/>
    <w:rsid w:val="00B1562B"/>
    <w:rsid w:val="00B1572A"/>
    <w:rsid w:val="00B16C16"/>
    <w:rsid w:val="00B20EAA"/>
    <w:rsid w:val="00B219D7"/>
    <w:rsid w:val="00B21B4E"/>
    <w:rsid w:val="00B22F3E"/>
    <w:rsid w:val="00B34239"/>
    <w:rsid w:val="00B43538"/>
    <w:rsid w:val="00B47AA3"/>
    <w:rsid w:val="00B535DB"/>
    <w:rsid w:val="00B543C4"/>
    <w:rsid w:val="00B64B76"/>
    <w:rsid w:val="00B66705"/>
    <w:rsid w:val="00B706CA"/>
    <w:rsid w:val="00B74E2A"/>
    <w:rsid w:val="00B75A3B"/>
    <w:rsid w:val="00B80158"/>
    <w:rsid w:val="00B84F13"/>
    <w:rsid w:val="00B93264"/>
    <w:rsid w:val="00B97BD6"/>
    <w:rsid w:val="00BA1AF9"/>
    <w:rsid w:val="00BA1D21"/>
    <w:rsid w:val="00BA219A"/>
    <w:rsid w:val="00BA2532"/>
    <w:rsid w:val="00BA298D"/>
    <w:rsid w:val="00BA720F"/>
    <w:rsid w:val="00BB10A2"/>
    <w:rsid w:val="00BB30C1"/>
    <w:rsid w:val="00BB408F"/>
    <w:rsid w:val="00BC1205"/>
    <w:rsid w:val="00BC175A"/>
    <w:rsid w:val="00BC3208"/>
    <w:rsid w:val="00BC3B15"/>
    <w:rsid w:val="00BC738F"/>
    <w:rsid w:val="00BD0469"/>
    <w:rsid w:val="00BD0722"/>
    <w:rsid w:val="00BD292A"/>
    <w:rsid w:val="00BD46A3"/>
    <w:rsid w:val="00BD4DBA"/>
    <w:rsid w:val="00BD7BD6"/>
    <w:rsid w:val="00BE42B4"/>
    <w:rsid w:val="00BE468F"/>
    <w:rsid w:val="00BE72D7"/>
    <w:rsid w:val="00BE7AFA"/>
    <w:rsid w:val="00BF365C"/>
    <w:rsid w:val="00BF46D8"/>
    <w:rsid w:val="00BF5349"/>
    <w:rsid w:val="00BF7F0A"/>
    <w:rsid w:val="00C05801"/>
    <w:rsid w:val="00C15C48"/>
    <w:rsid w:val="00C21A54"/>
    <w:rsid w:val="00C23FEB"/>
    <w:rsid w:val="00C250B4"/>
    <w:rsid w:val="00C25A54"/>
    <w:rsid w:val="00C2715B"/>
    <w:rsid w:val="00C27312"/>
    <w:rsid w:val="00C274EA"/>
    <w:rsid w:val="00C31C04"/>
    <w:rsid w:val="00C31C7B"/>
    <w:rsid w:val="00C34CF3"/>
    <w:rsid w:val="00C35083"/>
    <w:rsid w:val="00C37C2E"/>
    <w:rsid w:val="00C41CE3"/>
    <w:rsid w:val="00C41F5D"/>
    <w:rsid w:val="00C431FE"/>
    <w:rsid w:val="00C44203"/>
    <w:rsid w:val="00C46519"/>
    <w:rsid w:val="00C52EA9"/>
    <w:rsid w:val="00C55557"/>
    <w:rsid w:val="00C5671A"/>
    <w:rsid w:val="00C567BA"/>
    <w:rsid w:val="00C56E21"/>
    <w:rsid w:val="00C56F66"/>
    <w:rsid w:val="00C619A6"/>
    <w:rsid w:val="00C62926"/>
    <w:rsid w:val="00C70A89"/>
    <w:rsid w:val="00C7289A"/>
    <w:rsid w:val="00C72EAE"/>
    <w:rsid w:val="00C7689D"/>
    <w:rsid w:val="00C859A5"/>
    <w:rsid w:val="00C95D53"/>
    <w:rsid w:val="00C96270"/>
    <w:rsid w:val="00C9777F"/>
    <w:rsid w:val="00CA012C"/>
    <w:rsid w:val="00CA1DF0"/>
    <w:rsid w:val="00CA54A0"/>
    <w:rsid w:val="00CB06DA"/>
    <w:rsid w:val="00CB33FE"/>
    <w:rsid w:val="00CB38A6"/>
    <w:rsid w:val="00CB453C"/>
    <w:rsid w:val="00CB6927"/>
    <w:rsid w:val="00CC1B87"/>
    <w:rsid w:val="00CC4C8F"/>
    <w:rsid w:val="00CD14BC"/>
    <w:rsid w:val="00CD3C00"/>
    <w:rsid w:val="00CD3DD5"/>
    <w:rsid w:val="00CD4A73"/>
    <w:rsid w:val="00CD7FE0"/>
    <w:rsid w:val="00CE4417"/>
    <w:rsid w:val="00CE53A4"/>
    <w:rsid w:val="00CF082B"/>
    <w:rsid w:val="00CF2167"/>
    <w:rsid w:val="00CF2986"/>
    <w:rsid w:val="00CF550D"/>
    <w:rsid w:val="00CF6AAA"/>
    <w:rsid w:val="00D024CC"/>
    <w:rsid w:val="00D049E0"/>
    <w:rsid w:val="00D07044"/>
    <w:rsid w:val="00D13373"/>
    <w:rsid w:val="00D142D2"/>
    <w:rsid w:val="00D14877"/>
    <w:rsid w:val="00D2385F"/>
    <w:rsid w:val="00D3126A"/>
    <w:rsid w:val="00D33C54"/>
    <w:rsid w:val="00D409BA"/>
    <w:rsid w:val="00D47A89"/>
    <w:rsid w:val="00D51904"/>
    <w:rsid w:val="00D52747"/>
    <w:rsid w:val="00D61371"/>
    <w:rsid w:val="00D64BB2"/>
    <w:rsid w:val="00D658DB"/>
    <w:rsid w:val="00D721A8"/>
    <w:rsid w:val="00D72C04"/>
    <w:rsid w:val="00D81E76"/>
    <w:rsid w:val="00D82BB5"/>
    <w:rsid w:val="00D83305"/>
    <w:rsid w:val="00D85E4D"/>
    <w:rsid w:val="00D87C97"/>
    <w:rsid w:val="00D913E5"/>
    <w:rsid w:val="00D9304D"/>
    <w:rsid w:val="00D93B8D"/>
    <w:rsid w:val="00D952A8"/>
    <w:rsid w:val="00D95D5B"/>
    <w:rsid w:val="00D97FD1"/>
    <w:rsid w:val="00DB37ED"/>
    <w:rsid w:val="00DB4E91"/>
    <w:rsid w:val="00DB5A89"/>
    <w:rsid w:val="00DD09B3"/>
    <w:rsid w:val="00DD33B0"/>
    <w:rsid w:val="00DD48C5"/>
    <w:rsid w:val="00DD7284"/>
    <w:rsid w:val="00DE2123"/>
    <w:rsid w:val="00DE3A75"/>
    <w:rsid w:val="00DE79A9"/>
    <w:rsid w:val="00DF4B86"/>
    <w:rsid w:val="00DF51FB"/>
    <w:rsid w:val="00E005B5"/>
    <w:rsid w:val="00E02A42"/>
    <w:rsid w:val="00E037E8"/>
    <w:rsid w:val="00E04875"/>
    <w:rsid w:val="00E1195B"/>
    <w:rsid w:val="00E127C5"/>
    <w:rsid w:val="00E12AD3"/>
    <w:rsid w:val="00E13EA8"/>
    <w:rsid w:val="00E147FE"/>
    <w:rsid w:val="00E14845"/>
    <w:rsid w:val="00E203A0"/>
    <w:rsid w:val="00E20E2E"/>
    <w:rsid w:val="00E265F4"/>
    <w:rsid w:val="00E31D9E"/>
    <w:rsid w:val="00E3410D"/>
    <w:rsid w:val="00E34B24"/>
    <w:rsid w:val="00E352F1"/>
    <w:rsid w:val="00E3688E"/>
    <w:rsid w:val="00E42DC4"/>
    <w:rsid w:val="00E44BE8"/>
    <w:rsid w:val="00E4657D"/>
    <w:rsid w:val="00E479CD"/>
    <w:rsid w:val="00E535DA"/>
    <w:rsid w:val="00E53FCD"/>
    <w:rsid w:val="00E540FD"/>
    <w:rsid w:val="00E55A53"/>
    <w:rsid w:val="00E63740"/>
    <w:rsid w:val="00E63980"/>
    <w:rsid w:val="00E65220"/>
    <w:rsid w:val="00E664CA"/>
    <w:rsid w:val="00E7040A"/>
    <w:rsid w:val="00E71F74"/>
    <w:rsid w:val="00E71F79"/>
    <w:rsid w:val="00E73033"/>
    <w:rsid w:val="00E73DD9"/>
    <w:rsid w:val="00E75077"/>
    <w:rsid w:val="00E77339"/>
    <w:rsid w:val="00E83775"/>
    <w:rsid w:val="00E87A26"/>
    <w:rsid w:val="00E920B2"/>
    <w:rsid w:val="00E92331"/>
    <w:rsid w:val="00E928D6"/>
    <w:rsid w:val="00E953E6"/>
    <w:rsid w:val="00EA1ED3"/>
    <w:rsid w:val="00EA22EF"/>
    <w:rsid w:val="00EA3666"/>
    <w:rsid w:val="00EA3EEC"/>
    <w:rsid w:val="00EA451B"/>
    <w:rsid w:val="00EA6B46"/>
    <w:rsid w:val="00EB3901"/>
    <w:rsid w:val="00EB6F2C"/>
    <w:rsid w:val="00EC0C7E"/>
    <w:rsid w:val="00EC1351"/>
    <w:rsid w:val="00ED1766"/>
    <w:rsid w:val="00ED52F3"/>
    <w:rsid w:val="00ED5C6E"/>
    <w:rsid w:val="00EE0C8F"/>
    <w:rsid w:val="00EE23AD"/>
    <w:rsid w:val="00EE2BCB"/>
    <w:rsid w:val="00EE5075"/>
    <w:rsid w:val="00EF03E4"/>
    <w:rsid w:val="00EF25B5"/>
    <w:rsid w:val="00EF4F67"/>
    <w:rsid w:val="00EF5863"/>
    <w:rsid w:val="00F01637"/>
    <w:rsid w:val="00F03DC2"/>
    <w:rsid w:val="00F04E11"/>
    <w:rsid w:val="00F05D70"/>
    <w:rsid w:val="00F05DED"/>
    <w:rsid w:val="00F10CC7"/>
    <w:rsid w:val="00F13C78"/>
    <w:rsid w:val="00F202D2"/>
    <w:rsid w:val="00F22E35"/>
    <w:rsid w:val="00F2599F"/>
    <w:rsid w:val="00F25EBF"/>
    <w:rsid w:val="00F26047"/>
    <w:rsid w:val="00F278EA"/>
    <w:rsid w:val="00F37341"/>
    <w:rsid w:val="00F43E31"/>
    <w:rsid w:val="00F46167"/>
    <w:rsid w:val="00F4685F"/>
    <w:rsid w:val="00F56F62"/>
    <w:rsid w:val="00F6065F"/>
    <w:rsid w:val="00F63826"/>
    <w:rsid w:val="00F67F62"/>
    <w:rsid w:val="00F721F9"/>
    <w:rsid w:val="00F733F1"/>
    <w:rsid w:val="00F766CE"/>
    <w:rsid w:val="00F83FF9"/>
    <w:rsid w:val="00FA2C55"/>
    <w:rsid w:val="00FA2D83"/>
    <w:rsid w:val="00FA601D"/>
    <w:rsid w:val="00FA7F3E"/>
    <w:rsid w:val="00FB0348"/>
    <w:rsid w:val="00FB77B6"/>
    <w:rsid w:val="00FC4CB3"/>
    <w:rsid w:val="00FC739D"/>
    <w:rsid w:val="00FD17EE"/>
    <w:rsid w:val="00FD22D8"/>
    <w:rsid w:val="00FD26ED"/>
    <w:rsid w:val="00FD29EA"/>
    <w:rsid w:val="00FD2D5D"/>
    <w:rsid w:val="00FD3720"/>
    <w:rsid w:val="00FE158C"/>
    <w:rsid w:val="00FE5142"/>
    <w:rsid w:val="00FE639C"/>
    <w:rsid w:val="00FE66A7"/>
    <w:rsid w:val="00FF5F13"/>
    <w:rsid w:val="00FF7053"/>
    <w:rsid w:val="00FF7357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04FE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04FE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rsid w:val="00404FE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7D458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E36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3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E36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3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 Знак Знак Знак Знак"/>
    <w:basedOn w:val="a"/>
    <w:rsid w:val="008C35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2692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402E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FD29E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E147FE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9272E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72E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1">
    <w:name w:val="Знак Знак Знак Знак Знак Знак"/>
    <w:basedOn w:val="a"/>
    <w:rsid w:val="004E133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"/>
    <w:basedOn w:val="a"/>
    <w:rsid w:val="00403095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04FE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04FE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rsid w:val="00404FE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7D458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E36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3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E36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3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 Знак Знак Знак Знак"/>
    <w:basedOn w:val="a"/>
    <w:rsid w:val="008C35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2692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402E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FD29E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E147FE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9272E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72E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1">
    <w:name w:val="Знак Знак Знак Знак Знак Знак"/>
    <w:basedOn w:val="a"/>
    <w:rsid w:val="004E133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"/>
    <w:basedOn w:val="a"/>
    <w:rsid w:val="00403095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DB2DA-35C9-4E7C-89B4-5EA8C2791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6</Pages>
  <Words>2620</Words>
  <Characters>14936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Контрольно-счётная палата г. Вологда</Company>
  <LinksUpToDate>false</LinksUpToDate>
  <CharactersWithSpaces>17521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Natalia</cp:lastModifiedBy>
  <cp:revision>128</cp:revision>
  <cp:lastPrinted>2015-08-11T11:04:00Z</cp:lastPrinted>
  <dcterms:created xsi:type="dcterms:W3CDTF">2015-08-03T08:39:00Z</dcterms:created>
  <dcterms:modified xsi:type="dcterms:W3CDTF">2015-09-07T13:45:00Z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