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94" w:rsidRDefault="00C75094" w:rsidP="00C75094">
      <w:pPr>
        <w:spacing w:line="360" w:lineRule="auto"/>
        <w:ind w:firstLine="709"/>
        <w:jc w:val="center"/>
        <w:rPr>
          <w:b/>
          <w:sz w:val="26"/>
          <w:szCs w:val="26"/>
        </w:rPr>
      </w:pPr>
      <w:r w:rsidRPr="00C75094">
        <w:rPr>
          <w:b/>
          <w:sz w:val="26"/>
          <w:szCs w:val="26"/>
        </w:rPr>
        <w:t>Информация о ходе исполнения бюджета города Вологды</w:t>
      </w:r>
    </w:p>
    <w:p w:rsidR="00C75094" w:rsidRPr="00C75094" w:rsidRDefault="00C75094" w:rsidP="00C75094">
      <w:pPr>
        <w:spacing w:line="360" w:lineRule="auto"/>
        <w:ind w:firstLine="709"/>
        <w:jc w:val="center"/>
        <w:rPr>
          <w:b/>
          <w:sz w:val="26"/>
          <w:szCs w:val="26"/>
        </w:rPr>
      </w:pPr>
      <w:r w:rsidRPr="00C75094">
        <w:rPr>
          <w:b/>
          <w:sz w:val="26"/>
          <w:szCs w:val="26"/>
        </w:rPr>
        <w:t>за 1 полугодие 2013 года</w:t>
      </w:r>
    </w:p>
    <w:p w:rsidR="00C75094" w:rsidRDefault="00C75094" w:rsidP="00C75094">
      <w:pPr>
        <w:spacing w:line="360" w:lineRule="auto"/>
        <w:ind w:firstLine="709"/>
        <w:jc w:val="both"/>
        <w:rPr>
          <w:sz w:val="26"/>
          <w:szCs w:val="26"/>
        </w:rPr>
      </w:pPr>
    </w:p>
    <w:p w:rsidR="00C75094" w:rsidRPr="00B10917" w:rsidRDefault="00C75094" w:rsidP="00C75094">
      <w:pPr>
        <w:spacing w:line="360" w:lineRule="auto"/>
        <w:ind w:firstLine="709"/>
        <w:jc w:val="both"/>
        <w:rPr>
          <w:sz w:val="26"/>
          <w:szCs w:val="26"/>
        </w:rPr>
      </w:pPr>
      <w:r w:rsidRPr="00B10917">
        <w:rPr>
          <w:sz w:val="26"/>
          <w:szCs w:val="26"/>
        </w:rPr>
        <w:t xml:space="preserve">В соответствии с пунктом 8 Положения о Контрольно-счетной палате города Вологды, утвержденного решением Вологодской городской Думы от 29.09.2011 №759, Контрольно-счетной палатой проведен анализ исполнения бюджета города Вологды за 1 полугодие 2013 года на основании Отчета об исполнении бюджета города Вологды за 1 полугодие 2013 года, утвержденного постановлением Администрации города от 31.07.2013 №6165, и представленных одновременно с ним документов, предусмотренных пунктом 39 Положения о бюджетном процессе в городе Вологде. </w:t>
      </w:r>
    </w:p>
    <w:p w:rsidR="00C75094" w:rsidRPr="00B10917" w:rsidRDefault="00C75094" w:rsidP="00C75094">
      <w:pPr>
        <w:spacing w:line="360" w:lineRule="auto"/>
        <w:ind w:firstLine="709"/>
        <w:jc w:val="both"/>
        <w:rPr>
          <w:sz w:val="26"/>
          <w:szCs w:val="26"/>
        </w:rPr>
      </w:pPr>
      <w:r w:rsidRPr="00B10917">
        <w:rPr>
          <w:sz w:val="26"/>
          <w:szCs w:val="26"/>
        </w:rPr>
        <w:t xml:space="preserve">В течение 1 полугодия 2013 года в решение Вологодской городской Думы от 20.12.2012 №1445 «О бюджете города Вологды на 2013 год и плановый период 2014 и 2015 годов» внесено пять изменений, в результате которых увеличены бюджетные назначения по доходам на 1502,9 млн рублей (на 24,2%), расходам - на 1814,9 млн рублей (на 27,6%), объем дефицита бюджета города - на 312,0 млн рублей (с 9,5% до 16,4%, или на 6,9 процентных пункта). </w:t>
      </w:r>
    </w:p>
    <w:p w:rsidR="00C75094" w:rsidRPr="00B10917" w:rsidRDefault="00C75094" w:rsidP="00C75094">
      <w:pPr>
        <w:spacing w:line="360" w:lineRule="auto"/>
        <w:ind w:firstLine="709"/>
        <w:jc w:val="both"/>
        <w:rPr>
          <w:sz w:val="26"/>
          <w:szCs w:val="26"/>
        </w:rPr>
      </w:pPr>
      <w:r w:rsidRPr="00B10917">
        <w:rPr>
          <w:sz w:val="26"/>
          <w:szCs w:val="26"/>
        </w:rPr>
        <w:t xml:space="preserve">Основные показатели по исполнению бюджета города </w:t>
      </w:r>
      <w:r>
        <w:rPr>
          <w:sz w:val="26"/>
          <w:szCs w:val="26"/>
        </w:rPr>
        <w:t xml:space="preserve">за 1 полугодие 2013 года </w:t>
      </w:r>
      <w:r w:rsidRPr="00B10917">
        <w:rPr>
          <w:sz w:val="26"/>
          <w:szCs w:val="26"/>
        </w:rPr>
        <w:t xml:space="preserve">приведены в нижеследующей таблице.  </w:t>
      </w:r>
    </w:p>
    <w:p w:rsidR="00C75094" w:rsidRPr="00CA7FD4" w:rsidRDefault="00C75094" w:rsidP="00C75094">
      <w:pPr>
        <w:ind w:firstLine="709"/>
        <w:jc w:val="right"/>
        <w:rPr>
          <w:sz w:val="18"/>
          <w:szCs w:val="18"/>
        </w:rPr>
      </w:pPr>
      <w:r w:rsidRPr="00CA7FD4">
        <w:rPr>
          <w:sz w:val="18"/>
          <w:szCs w:val="18"/>
        </w:rPr>
        <w:t xml:space="preserve">(тыс. руб.) </w:t>
      </w:r>
    </w:p>
    <w:tbl>
      <w:tblPr>
        <w:tblpPr w:leftFromText="180" w:rightFromText="180" w:vertAnchor="text" w:horzAnchor="margin" w:tblpXSpec="center" w:tblpY="7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055"/>
        <w:gridCol w:w="1067"/>
        <w:gridCol w:w="914"/>
        <w:gridCol w:w="1145"/>
        <w:gridCol w:w="976"/>
        <w:gridCol w:w="914"/>
        <w:gridCol w:w="1188"/>
        <w:gridCol w:w="1105"/>
      </w:tblGrid>
      <w:tr w:rsidR="00C75094" w:rsidRPr="00CA7FD4" w:rsidTr="00F350BE">
        <w:tc>
          <w:tcPr>
            <w:tcW w:w="1242" w:type="dxa"/>
            <w:shd w:val="clear" w:color="auto" w:fill="auto"/>
          </w:tcPr>
          <w:p w:rsidR="00C75094" w:rsidRPr="002B4CF5" w:rsidRDefault="00C75094" w:rsidP="00F350BE">
            <w:pPr>
              <w:jc w:val="center"/>
              <w:rPr>
                <w:sz w:val="16"/>
                <w:szCs w:val="16"/>
              </w:rPr>
            </w:pPr>
            <w:r w:rsidRPr="002B4CF5">
              <w:rPr>
                <w:sz w:val="16"/>
                <w:szCs w:val="16"/>
              </w:rPr>
              <w:t>Наименование показателей</w:t>
            </w:r>
          </w:p>
        </w:tc>
        <w:tc>
          <w:tcPr>
            <w:tcW w:w="1055" w:type="dxa"/>
            <w:shd w:val="clear" w:color="auto" w:fill="auto"/>
          </w:tcPr>
          <w:p w:rsidR="00C75094" w:rsidRPr="002B4CF5" w:rsidRDefault="00C75094" w:rsidP="00F350BE">
            <w:pPr>
              <w:jc w:val="center"/>
              <w:rPr>
                <w:sz w:val="16"/>
                <w:szCs w:val="16"/>
              </w:rPr>
            </w:pPr>
            <w:r w:rsidRPr="002B4CF5">
              <w:rPr>
                <w:sz w:val="16"/>
                <w:szCs w:val="16"/>
              </w:rPr>
              <w:t>Утверждено на 201</w:t>
            </w:r>
            <w:r>
              <w:rPr>
                <w:sz w:val="16"/>
                <w:szCs w:val="16"/>
              </w:rPr>
              <w:t xml:space="preserve">3 </w:t>
            </w:r>
            <w:r w:rsidRPr="002B4CF5">
              <w:rPr>
                <w:sz w:val="16"/>
                <w:szCs w:val="16"/>
              </w:rPr>
              <w:t>год</w:t>
            </w:r>
          </w:p>
        </w:tc>
        <w:tc>
          <w:tcPr>
            <w:tcW w:w="1067" w:type="dxa"/>
            <w:shd w:val="clear" w:color="auto" w:fill="auto"/>
          </w:tcPr>
          <w:p w:rsidR="00C75094" w:rsidRPr="002B4CF5" w:rsidRDefault="00C75094" w:rsidP="00F350BE">
            <w:pPr>
              <w:jc w:val="center"/>
              <w:rPr>
                <w:sz w:val="16"/>
                <w:szCs w:val="16"/>
              </w:rPr>
            </w:pPr>
            <w:r w:rsidRPr="002B4CF5">
              <w:rPr>
                <w:sz w:val="16"/>
                <w:szCs w:val="16"/>
              </w:rPr>
              <w:t xml:space="preserve">Исполнено за     </w:t>
            </w:r>
            <w:r w:rsidRPr="002B4CF5">
              <w:rPr>
                <w:sz w:val="16"/>
                <w:szCs w:val="16"/>
                <w:lang w:val="en-US"/>
              </w:rPr>
              <w:t>I</w:t>
            </w:r>
            <w:r w:rsidRPr="002B4CF5">
              <w:rPr>
                <w:sz w:val="16"/>
                <w:szCs w:val="16"/>
              </w:rPr>
              <w:t xml:space="preserve"> полугодие</w:t>
            </w:r>
          </w:p>
          <w:p w:rsidR="00C75094" w:rsidRPr="002B4CF5" w:rsidRDefault="00C75094" w:rsidP="00F350BE">
            <w:pPr>
              <w:jc w:val="center"/>
              <w:rPr>
                <w:sz w:val="16"/>
                <w:szCs w:val="16"/>
              </w:rPr>
            </w:pPr>
            <w:r w:rsidRPr="002B4CF5">
              <w:rPr>
                <w:sz w:val="16"/>
                <w:szCs w:val="16"/>
              </w:rPr>
              <w:t>201</w:t>
            </w:r>
            <w:r>
              <w:rPr>
                <w:sz w:val="16"/>
                <w:szCs w:val="16"/>
              </w:rPr>
              <w:t>3</w:t>
            </w:r>
            <w:r w:rsidRPr="002B4CF5">
              <w:rPr>
                <w:sz w:val="16"/>
                <w:szCs w:val="16"/>
              </w:rPr>
              <w:t xml:space="preserve"> года</w:t>
            </w:r>
          </w:p>
        </w:tc>
        <w:tc>
          <w:tcPr>
            <w:tcW w:w="914" w:type="dxa"/>
          </w:tcPr>
          <w:p w:rsidR="00C75094" w:rsidRPr="002B4CF5" w:rsidRDefault="00C75094" w:rsidP="00F350BE">
            <w:pPr>
              <w:jc w:val="center"/>
              <w:rPr>
                <w:sz w:val="16"/>
                <w:szCs w:val="16"/>
              </w:rPr>
            </w:pPr>
            <w:r>
              <w:rPr>
                <w:sz w:val="16"/>
                <w:szCs w:val="16"/>
              </w:rPr>
              <w:t>Удельный вес (%)</w:t>
            </w:r>
          </w:p>
        </w:tc>
        <w:tc>
          <w:tcPr>
            <w:tcW w:w="1145" w:type="dxa"/>
            <w:shd w:val="clear" w:color="auto" w:fill="auto"/>
          </w:tcPr>
          <w:p w:rsidR="00C75094" w:rsidRPr="002B4CF5" w:rsidRDefault="00C75094" w:rsidP="00F350BE">
            <w:pPr>
              <w:jc w:val="center"/>
              <w:rPr>
                <w:sz w:val="16"/>
                <w:szCs w:val="16"/>
              </w:rPr>
            </w:pPr>
            <w:r w:rsidRPr="002B4CF5">
              <w:rPr>
                <w:sz w:val="16"/>
                <w:szCs w:val="16"/>
              </w:rPr>
              <w:t xml:space="preserve">Процент исполнения бюджетных назначений за </w:t>
            </w:r>
            <w:r w:rsidRPr="002B4CF5">
              <w:rPr>
                <w:sz w:val="16"/>
                <w:szCs w:val="16"/>
                <w:lang w:val="en-US"/>
              </w:rPr>
              <w:t>I</w:t>
            </w:r>
            <w:r w:rsidRPr="002B4CF5">
              <w:rPr>
                <w:sz w:val="16"/>
                <w:szCs w:val="16"/>
              </w:rPr>
              <w:t xml:space="preserve"> полугодие 201</w:t>
            </w:r>
            <w:r>
              <w:rPr>
                <w:sz w:val="16"/>
                <w:szCs w:val="16"/>
              </w:rPr>
              <w:t>3</w:t>
            </w:r>
            <w:r w:rsidRPr="002B4CF5">
              <w:rPr>
                <w:sz w:val="16"/>
                <w:szCs w:val="16"/>
              </w:rPr>
              <w:t xml:space="preserve"> года</w:t>
            </w:r>
          </w:p>
        </w:tc>
        <w:tc>
          <w:tcPr>
            <w:tcW w:w="976" w:type="dxa"/>
            <w:shd w:val="clear" w:color="auto" w:fill="auto"/>
          </w:tcPr>
          <w:p w:rsidR="00C75094" w:rsidRPr="002B4CF5" w:rsidRDefault="00C75094" w:rsidP="00F350BE">
            <w:pPr>
              <w:jc w:val="center"/>
              <w:rPr>
                <w:sz w:val="16"/>
                <w:szCs w:val="16"/>
              </w:rPr>
            </w:pPr>
            <w:r w:rsidRPr="002B4CF5">
              <w:rPr>
                <w:sz w:val="16"/>
                <w:szCs w:val="16"/>
              </w:rPr>
              <w:t xml:space="preserve">Исполнено за </w:t>
            </w:r>
            <w:r w:rsidRPr="002B4CF5">
              <w:rPr>
                <w:sz w:val="16"/>
                <w:szCs w:val="16"/>
                <w:lang w:val="en-US"/>
              </w:rPr>
              <w:t>I</w:t>
            </w:r>
            <w:r w:rsidRPr="002B4CF5">
              <w:rPr>
                <w:sz w:val="16"/>
                <w:szCs w:val="16"/>
              </w:rPr>
              <w:t xml:space="preserve"> полугодие 201</w:t>
            </w:r>
            <w:r>
              <w:rPr>
                <w:sz w:val="16"/>
                <w:szCs w:val="16"/>
              </w:rPr>
              <w:t>2</w:t>
            </w:r>
            <w:r w:rsidRPr="002B4CF5">
              <w:rPr>
                <w:sz w:val="16"/>
                <w:szCs w:val="16"/>
              </w:rPr>
              <w:t xml:space="preserve"> года</w:t>
            </w:r>
          </w:p>
        </w:tc>
        <w:tc>
          <w:tcPr>
            <w:tcW w:w="914" w:type="dxa"/>
          </w:tcPr>
          <w:p w:rsidR="00C75094" w:rsidRPr="002B4CF5" w:rsidRDefault="00C75094" w:rsidP="00F350BE">
            <w:pPr>
              <w:jc w:val="center"/>
              <w:rPr>
                <w:sz w:val="16"/>
                <w:szCs w:val="16"/>
              </w:rPr>
            </w:pPr>
            <w:r>
              <w:rPr>
                <w:sz w:val="16"/>
                <w:szCs w:val="16"/>
              </w:rPr>
              <w:t>Удельный вес (%)</w:t>
            </w:r>
          </w:p>
        </w:tc>
        <w:tc>
          <w:tcPr>
            <w:tcW w:w="1188" w:type="dxa"/>
            <w:shd w:val="clear" w:color="auto" w:fill="auto"/>
          </w:tcPr>
          <w:p w:rsidR="00C75094" w:rsidRPr="002B4CF5" w:rsidRDefault="00C75094" w:rsidP="00F350BE">
            <w:pPr>
              <w:jc w:val="center"/>
              <w:rPr>
                <w:sz w:val="16"/>
                <w:szCs w:val="16"/>
              </w:rPr>
            </w:pPr>
            <w:r w:rsidRPr="002B4CF5">
              <w:rPr>
                <w:sz w:val="16"/>
                <w:szCs w:val="16"/>
              </w:rPr>
              <w:t xml:space="preserve">Процент исполнения бюджетных назначений за </w:t>
            </w:r>
            <w:r w:rsidRPr="002B4CF5">
              <w:rPr>
                <w:sz w:val="16"/>
                <w:szCs w:val="16"/>
                <w:lang w:val="en-US"/>
              </w:rPr>
              <w:t>I</w:t>
            </w:r>
            <w:r w:rsidRPr="002B4CF5">
              <w:rPr>
                <w:sz w:val="16"/>
                <w:szCs w:val="16"/>
              </w:rPr>
              <w:t xml:space="preserve"> полугодие 201</w:t>
            </w:r>
            <w:r>
              <w:rPr>
                <w:sz w:val="16"/>
                <w:szCs w:val="16"/>
              </w:rPr>
              <w:t>2</w:t>
            </w:r>
            <w:r w:rsidRPr="002B4CF5">
              <w:rPr>
                <w:sz w:val="16"/>
                <w:szCs w:val="16"/>
              </w:rPr>
              <w:t xml:space="preserve"> года </w:t>
            </w:r>
          </w:p>
        </w:tc>
        <w:tc>
          <w:tcPr>
            <w:tcW w:w="1105" w:type="dxa"/>
            <w:shd w:val="clear" w:color="auto" w:fill="auto"/>
          </w:tcPr>
          <w:p w:rsidR="00C75094" w:rsidRPr="002B4CF5" w:rsidRDefault="00C75094" w:rsidP="00F350BE">
            <w:pPr>
              <w:jc w:val="center"/>
              <w:rPr>
                <w:sz w:val="16"/>
                <w:szCs w:val="16"/>
              </w:rPr>
            </w:pPr>
            <w:r w:rsidRPr="002B4CF5">
              <w:rPr>
                <w:sz w:val="16"/>
                <w:szCs w:val="16"/>
              </w:rPr>
              <w:t xml:space="preserve">Процент роста (снижения)  </w:t>
            </w:r>
            <w:r w:rsidRPr="002B4CF5">
              <w:rPr>
                <w:sz w:val="16"/>
                <w:szCs w:val="16"/>
                <w:lang w:val="en-US"/>
              </w:rPr>
              <w:t>I</w:t>
            </w:r>
            <w:r w:rsidRPr="002B4CF5">
              <w:rPr>
                <w:sz w:val="16"/>
                <w:szCs w:val="16"/>
              </w:rPr>
              <w:t xml:space="preserve"> полугодие  201</w:t>
            </w:r>
            <w:r>
              <w:rPr>
                <w:sz w:val="16"/>
                <w:szCs w:val="16"/>
              </w:rPr>
              <w:t>3</w:t>
            </w:r>
            <w:r w:rsidRPr="002B4CF5">
              <w:rPr>
                <w:sz w:val="16"/>
                <w:szCs w:val="16"/>
              </w:rPr>
              <w:t xml:space="preserve"> года к </w:t>
            </w:r>
            <w:r w:rsidRPr="002B4CF5">
              <w:rPr>
                <w:sz w:val="16"/>
                <w:szCs w:val="16"/>
                <w:lang w:val="en-US"/>
              </w:rPr>
              <w:t>I</w:t>
            </w:r>
            <w:r w:rsidRPr="002B4CF5">
              <w:rPr>
                <w:sz w:val="16"/>
                <w:szCs w:val="16"/>
              </w:rPr>
              <w:t xml:space="preserve"> полугодию 201</w:t>
            </w:r>
            <w:r>
              <w:rPr>
                <w:sz w:val="16"/>
                <w:szCs w:val="16"/>
              </w:rPr>
              <w:t>2</w:t>
            </w:r>
            <w:r w:rsidRPr="002B4CF5">
              <w:rPr>
                <w:sz w:val="16"/>
                <w:szCs w:val="16"/>
              </w:rPr>
              <w:t xml:space="preserve"> года</w:t>
            </w:r>
          </w:p>
        </w:tc>
      </w:tr>
      <w:tr w:rsidR="00C75094" w:rsidRPr="00CA7FD4" w:rsidTr="00F350BE">
        <w:tc>
          <w:tcPr>
            <w:tcW w:w="1242" w:type="dxa"/>
            <w:shd w:val="clear" w:color="auto" w:fill="auto"/>
          </w:tcPr>
          <w:p w:rsidR="00C75094" w:rsidRPr="002B4CF5" w:rsidRDefault="00C75094" w:rsidP="00F350BE">
            <w:pPr>
              <w:rPr>
                <w:sz w:val="16"/>
                <w:szCs w:val="16"/>
              </w:rPr>
            </w:pPr>
            <w:r w:rsidRPr="002B4CF5">
              <w:rPr>
                <w:sz w:val="16"/>
                <w:szCs w:val="16"/>
              </w:rPr>
              <w:t xml:space="preserve">Налоговые доходы </w:t>
            </w:r>
          </w:p>
        </w:tc>
        <w:tc>
          <w:tcPr>
            <w:tcW w:w="1055" w:type="dxa"/>
            <w:shd w:val="clear" w:color="auto" w:fill="auto"/>
          </w:tcPr>
          <w:p w:rsidR="00C75094" w:rsidRPr="002B4CF5" w:rsidRDefault="00C75094" w:rsidP="00F350BE">
            <w:pPr>
              <w:jc w:val="right"/>
              <w:rPr>
                <w:sz w:val="16"/>
                <w:szCs w:val="16"/>
              </w:rPr>
            </w:pPr>
            <w:r w:rsidRPr="002B4CF5">
              <w:rPr>
                <w:sz w:val="16"/>
                <w:szCs w:val="16"/>
              </w:rPr>
              <w:t>2</w:t>
            </w:r>
            <w:r>
              <w:rPr>
                <w:sz w:val="16"/>
                <w:szCs w:val="16"/>
              </w:rPr>
              <w:t> 766 641,5</w:t>
            </w:r>
          </w:p>
        </w:tc>
        <w:tc>
          <w:tcPr>
            <w:tcW w:w="1067" w:type="dxa"/>
            <w:shd w:val="clear" w:color="auto" w:fill="auto"/>
          </w:tcPr>
          <w:p w:rsidR="00C75094" w:rsidRPr="002B4CF5" w:rsidRDefault="00C75094" w:rsidP="00F350BE">
            <w:pPr>
              <w:jc w:val="right"/>
              <w:rPr>
                <w:sz w:val="16"/>
                <w:szCs w:val="16"/>
              </w:rPr>
            </w:pPr>
            <w:r>
              <w:rPr>
                <w:sz w:val="16"/>
                <w:szCs w:val="16"/>
              </w:rPr>
              <w:t>1 083 </w:t>
            </w:r>
            <w:r w:rsidRPr="009348BA">
              <w:rPr>
                <w:sz w:val="16"/>
                <w:szCs w:val="16"/>
              </w:rPr>
              <w:t>128,</w:t>
            </w:r>
            <w:r>
              <w:rPr>
                <w:sz w:val="16"/>
                <w:szCs w:val="16"/>
              </w:rPr>
              <w:t>3</w:t>
            </w:r>
          </w:p>
        </w:tc>
        <w:tc>
          <w:tcPr>
            <w:tcW w:w="914" w:type="dxa"/>
          </w:tcPr>
          <w:p w:rsidR="00C75094" w:rsidRPr="002B4CF5" w:rsidRDefault="00C75094" w:rsidP="00F350BE">
            <w:pPr>
              <w:jc w:val="right"/>
              <w:rPr>
                <w:sz w:val="16"/>
                <w:szCs w:val="16"/>
              </w:rPr>
            </w:pPr>
            <w:r>
              <w:rPr>
                <w:sz w:val="16"/>
                <w:szCs w:val="16"/>
              </w:rPr>
              <w:t>34,5</w:t>
            </w:r>
          </w:p>
        </w:tc>
        <w:tc>
          <w:tcPr>
            <w:tcW w:w="1145" w:type="dxa"/>
            <w:shd w:val="clear" w:color="auto" w:fill="auto"/>
          </w:tcPr>
          <w:p w:rsidR="00C75094" w:rsidRPr="002B4CF5" w:rsidRDefault="00C75094" w:rsidP="00F350BE">
            <w:pPr>
              <w:jc w:val="right"/>
              <w:rPr>
                <w:sz w:val="16"/>
                <w:szCs w:val="16"/>
              </w:rPr>
            </w:pPr>
            <w:r>
              <w:rPr>
                <w:sz w:val="16"/>
                <w:szCs w:val="16"/>
              </w:rPr>
              <w:t>39,1</w:t>
            </w:r>
          </w:p>
        </w:tc>
        <w:tc>
          <w:tcPr>
            <w:tcW w:w="976" w:type="dxa"/>
            <w:shd w:val="clear" w:color="auto" w:fill="auto"/>
          </w:tcPr>
          <w:p w:rsidR="00C75094" w:rsidRPr="002B4CF5" w:rsidRDefault="00C75094" w:rsidP="00F350BE">
            <w:pPr>
              <w:jc w:val="right"/>
              <w:rPr>
                <w:sz w:val="16"/>
                <w:szCs w:val="16"/>
              </w:rPr>
            </w:pPr>
            <w:r>
              <w:rPr>
                <w:sz w:val="16"/>
                <w:szCs w:val="16"/>
              </w:rPr>
              <w:t>1 028 580,5</w:t>
            </w:r>
          </w:p>
        </w:tc>
        <w:tc>
          <w:tcPr>
            <w:tcW w:w="914" w:type="dxa"/>
          </w:tcPr>
          <w:p w:rsidR="00C75094" w:rsidRPr="002B4CF5" w:rsidRDefault="00C75094" w:rsidP="00F350BE">
            <w:pPr>
              <w:jc w:val="right"/>
              <w:rPr>
                <w:sz w:val="16"/>
                <w:szCs w:val="16"/>
              </w:rPr>
            </w:pPr>
            <w:r>
              <w:rPr>
                <w:sz w:val="16"/>
                <w:szCs w:val="16"/>
              </w:rPr>
              <w:t>38,9</w:t>
            </w:r>
          </w:p>
        </w:tc>
        <w:tc>
          <w:tcPr>
            <w:tcW w:w="1188" w:type="dxa"/>
            <w:shd w:val="clear" w:color="auto" w:fill="auto"/>
          </w:tcPr>
          <w:p w:rsidR="00C75094" w:rsidRPr="002B4CF5" w:rsidRDefault="00C75094" w:rsidP="00F350BE">
            <w:pPr>
              <w:jc w:val="right"/>
              <w:rPr>
                <w:sz w:val="16"/>
                <w:szCs w:val="16"/>
              </w:rPr>
            </w:pPr>
            <w:r>
              <w:rPr>
                <w:sz w:val="16"/>
                <w:szCs w:val="16"/>
              </w:rPr>
              <w:t>42,2</w:t>
            </w:r>
          </w:p>
        </w:tc>
        <w:tc>
          <w:tcPr>
            <w:tcW w:w="1105" w:type="dxa"/>
            <w:shd w:val="clear" w:color="auto" w:fill="auto"/>
          </w:tcPr>
          <w:p w:rsidR="00C75094" w:rsidRPr="002B4CF5" w:rsidRDefault="00C75094" w:rsidP="00F350BE">
            <w:pPr>
              <w:jc w:val="right"/>
              <w:rPr>
                <w:sz w:val="16"/>
                <w:szCs w:val="16"/>
              </w:rPr>
            </w:pPr>
            <w:r>
              <w:rPr>
                <w:sz w:val="16"/>
                <w:szCs w:val="16"/>
              </w:rPr>
              <w:t>+5,3</w:t>
            </w:r>
          </w:p>
        </w:tc>
      </w:tr>
      <w:tr w:rsidR="00C75094" w:rsidRPr="00CA7FD4" w:rsidTr="00F350BE">
        <w:tc>
          <w:tcPr>
            <w:tcW w:w="1242" w:type="dxa"/>
            <w:shd w:val="clear" w:color="auto" w:fill="auto"/>
          </w:tcPr>
          <w:p w:rsidR="00C75094" w:rsidRPr="002B4CF5" w:rsidRDefault="00C75094" w:rsidP="00F350BE">
            <w:pPr>
              <w:rPr>
                <w:sz w:val="16"/>
                <w:szCs w:val="16"/>
              </w:rPr>
            </w:pPr>
          </w:p>
          <w:p w:rsidR="00C75094" w:rsidRPr="002B4CF5" w:rsidRDefault="00C75094" w:rsidP="00F350BE">
            <w:pPr>
              <w:rPr>
                <w:sz w:val="16"/>
                <w:szCs w:val="16"/>
              </w:rPr>
            </w:pPr>
            <w:r w:rsidRPr="002B4CF5">
              <w:rPr>
                <w:sz w:val="16"/>
                <w:szCs w:val="16"/>
              </w:rPr>
              <w:t>Неналоговые доходы</w:t>
            </w:r>
          </w:p>
        </w:tc>
        <w:tc>
          <w:tcPr>
            <w:tcW w:w="1055" w:type="dxa"/>
            <w:shd w:val="clear" w:color="auto" w:fill="auto"/>
          </w:tcPr>
          <w:p w:rsidR="00C75094" w:rsidRPr="002B4CF5" w:rsidRDefault="00C75094" w:rsidP="00F350BE">
            <w:pPr>
              <w:jc w:val="right"/>
              <w:rPr>
                <w:sz w:val="16"/>
                <w:szCs w:val="16"/>
              </w:rPr>
            </w:pPr>
          </w:p>
          <w:p w:rsidR="00C75094" w:rsidRPr="002B4CF5" w:rsidRDefault="00C75094" w:rsidP="00F350BE">
            <w:pPr>
              <w:jc w:val="right"/>
              <w:rPr>
                <w:sz w:val="16"/>
                <w:szCs w:val="16"/>
              </w:rPr>
            </w:pPr>
            <w:r>
              <w:rPr>
                <w:sz w:val="16"/>
                <w:szCs w:val="16"/>
              </w:rPr>
              <w:t>1 327 901,0</w:t>
            </w:r>
          </w:p>
        </w:tc>
        <w:tc>
          <w:tcPr>
            <w:tcW w:w="1067" w:type="dxa"/>
            <w:shd w:val="clear" w:color="auto" w:fill="auto"/>
          </w:tcPr>
          <w:p w:rsidR="00C75094" w:rsidRPr="002B4CF5" w:rsidRDefault="00C75094" w:rsidP="00F350BE">
            <w:pPr>
              <w:jc w:val="right"/>
              <w:rPr>
                <w:sz w:val="16"/>
                <w:szCs w:val="16"/>
              </w:rPr>
            </w:pPr>
          </w:p>
          <w:p w:rsidR="00C75094" w:rsidRPr="002B4CF5" w:rsidRDefault="00C75094" w:rsidP="00F350BE">
            <w:pPr>
              <w:jc w:val="right"/>
              <w:rPr>
                <w:sz w:val="16"/>
                <w:szCs w:val="16"/>
              </w:rPr>
            </w:pPr>
            <w:r>
              <w:rPr>
                <w:sz w:val="16"/>
                <w:szCs w:val="16"/>
              </w:rPr>
              <w:t>320 362,1</w:t>
            </w:r>
          </w:p>
        </w:tc>
        <w:tc>
          <w:tcPr>
            <w:tcW w:w="914" w:type="dxa"/>
          </w:tcPr>
          <w:p w:rsidR="00C75094" w:rsidRPr="002B4CF5" w:rsidRDefault="00C75094" w:rsidP="00F350BE">
            <w:pPr>
              <w:jc w:val="right"/>
              <w:rPr>
                <w:sz w:val="16"/>
                <w:szCs w:val="16"/>
              </w:rPr>
            </w:pPr>
            <w:r>
              <w:rPr>
                <w:sz w:val="16"/>
                <w:szCs w:val="16"/>
              </w:rPr>
              <w:t>10,2</w:t>
            </w:r>
          </w:p>
        </w:tc>
        <w:tc>
          <w:tcPr>
            <w:tcW w:w="1145" w:type="dxa"/>
            <w:shd w:val="clear" w:color="auto" w:fill="auto"/>
          </w:tcPr>
          <w:p w:rsidR="00C75094" w:rsidRPr="002B4CF5" w:rsidRDefault="00C75094" w:rsidP="00F350BE">
            <w:pPr>
              <w:jc w:val="right"/>
              <w:rPr>
                <w:sz w:val="16"/>
                <w:szCs w:val="16"/>
              </w:rPr>
            </w:pPr>
            <w:r>
              <w:rPr>
                <w:sz w:val="16"/>
                <w:szCs w:val="16"/>
              </w:rPr>
              <w:t>24,1</w:t>
            </w:r>
          </w:p>
        </w:tc>
        <w:tc>
          <w:tcPr>
            <w:tcW w:w="976" w:type="dxa"/>
            <w:shd w:val="clear" w:color="auto" w:fill="auto"/>
          </w:tcPr>
          <w:p w:rsidR="00C75094" w:rsidRPr="002B4CF5" w:rsidRDefault="00C75094" w:rsidP="00F350BE">
            <w:pPr>
              <w:jc w:val="right"/>
              <w:rPr>
                <w:sz w:val="16"/>
                <w:szCs w:val="16"/>
              </w:rPr>
            </w:pPr>
            <w:r>
              <w:rPr>
                <w:sz w:val="16"/>
                <w:szCs w:val="16"/>
              </w:rPr>
              <w:t>386 634,9</w:t>
            </w:r>
          </w:p>
        </w:tc>
        <w:tc>
          <w:tcPr>
            <w:tcW w:w="914" w:type="dxa"/>
          </w:tcPr>
          <w:p w:rsidR="00C75094" w:rsidRPr="002B4CF5" w:rsidRDefault="00C75094" w:rsidP="00F350BE">
            <w:pPr>
              <w:jc w:val="right"/>
              <w:rPr>
                <w:sz w:val="16"/>
                <w:szCs w:val="16"/>
              </w:rPr>
            </w:pPr>
            <w:r>
              <w:rPr>
                <w:sz w:val="16"/>
                <w:szCs w:val="16"/>
              </w:rPr>
              <w:t>14,6</w:t>
            </w:r>
          </w:p>
        </w:tc>
        <w:tc>
          <w:tcPr>
            <w:tcW w:w="1188" w:type="dxa"/>
            <w:shd w:val="clear" w:color="auto" w:fill="auto"/>
          </w:tcPr>
          <w:p w:rsidR="00C75094" w:rsidRPr="002B4CF5" w:rsidRDefault="00C75094" w:rsidP="00F350BE">
            <w:pPr>
              <w:jc w:val="right"/>
              <w:rPr>
                <w:sz w:val="16"/>
                <w:szCs w:val="16"/>
              </w:rPr>
            </w:pPr>
            <w:r>
              <w:rPr>
                <w:sz w:val="16"/>
                <w:szCs w:val="16"/>
              </w:rPr>
              <w:t>52,8</w:t>
            </w:r>
          </w:p>
        </w:tc>
        <w:tc>
          <w:tcPr>
            <w:tcW w:w="1105" w:type="dxa"/>
            <w:shd w:val="clear" w:color="auto" w:fill="auto"/>
          </w:tcPr>
          <w:p w:rsidR="00C75094" w:rsidRPr="002B4CF5" w:rsidRDefault="00C75094" w:rsidP="00F350BE">
            <w:pPr>
              <w:jc w:val="right"/>
              <w:rPr>
                <w:sz w:val="16"/>
                <w:szCs w:val="16"/>
              </w:rPr>
            </w:pPr>
            <w:r>
              <w:rPr>
                <w:sz w:val="16"/>
                <w:szCs w:val="16"/>
              </w:rPr>
              <w:t>-17,1</w:t>
            </w:r>
          </w:p>
        </w:tc>
      </w:tr>
      <w:tr w:rsidR="00C75094" w:rsidRPr="00CA7FD4" w:rsidTr="00F350BE">
        <w:tc>
          <w:tcPr>
            <w:tcW w:w="1242" w:type="dxa"/>
            <w:shd w:val="clear" w:color="auto" w:fill="auto"/>
          </w:tcPr>
          <w:p w:rsidR="00C75094" w:rsidRPr="002B4CF5" w:rsidRDefault="00C75094" w:rsidP="00F350BE">
            <w:pPr>
              <w:rPr>
                <w:sz w:val="16"/>
                <w:szCs w:val="16"/>
              </w:rPr>
            </w:pPr>
            <w:r w:rsidRPr="002B4CF5">
              <w:rPr>
                <w:sz w:val="16"/>
                <w:szCs w:val="16"/>
              </w:rPr>
              <w:t>Итого</w:t>
            </w:r>
          </w:p>
        </w:tc>
        <w:tc>
          <w:tcPr>
            <w:tcW w:w="1055" w:type="dxa"/>
            <w:shd w:val="clear" w:color="auto" w:fill="auto"/>
          </w:tcPr>
          <w:p w:rsidR="00C75094" w:rsidRPr="002B4CF5" w:rsidRDefault="00C75094" w:rsidP="00F350BE">
            <w:pPr>
              <w:jc w:val="right"/>
              <w:rPr>
                <w:sz w:val="16"/>
                <w:szCs w:val="16"/>
              </w:rPr>
            </w:pPr>
            <w:r>
              <w:rPr>
                <w:sz w:val="16"/>
                <w:szCs w:val="16"/>
              </w:rPr>
              <w:t>4 094 542,5</w:t>
            </w:r>
          </w:p>
        </w:tc>
        <w:tc>
          <w:tcPr>
            <w:tcW w:w="1067" w:type="dxa"/>
            <w:shd w:val="clear" w:color="auto" w:fill="auto"/>
          </w:tcPr>
          <w:p w:rsidR="00C75094" w:rsidRPr="002B4CF5" w:rsidRDefault="00C75094" w:rsidP="00F350BE">
            <w:pPr>
              <w:jc w:val="right"/>
              <w:rPr>
                <w:sz w:val="16"/>
                <w:szCs w:val="16"/>
              </w:rPr>
            </w:pPr>
            <w:r>
              <w:rPr>
                <w:sz w:val="16"/>
                <w:szCs w:val="16"/>
              </w:rPr>
              <w:t>1 403 </w:t>
            </w:r>
            <w:r w:rsidRPr="00A4111E">
              <w:rPr>
                <w:sz w:val="16"/>
                <w:szCs w:val="16"/>
              </w:rPr>
              <w:t>490,4</w:t>
            </w:r>
          </w:p>
        </w:tc>
        <w:tc>
          <w:tcPr>
            <w:tcW w:w="914" w:type="dxa"/>
          </w:tcPr>
          <w:p w:rsidR="00C75094" w:rsidRPr="002B4CF5" w:rsidRDefault="00C75094" w:rsidP="00F350BE">
            <w:pPr>
              <w:jc w:val="right"/>
              <w:rPr>
                <w:sz w:val="16"/>
                <w:szCs w:val="16"/>
              </w:rPr>
            </w:pPr>
            <w:r>
              <w:rPr>
                <w:sz w:val="16"/>
                <w:szCs w:val="16"/>
              </w:rPr>
              <w:t>44,7</w:t>
            </w:r>
          </w:p>
        </w:tc>
        <w:tc>
          <w:tcPr>
            <w:tcW w:w="1145" w:type="dxa"/>
            <w:shd w:val="clear" w:color="auto" w:fill="auto"/>
          </w:tcPr>
          <w:p w:rsidR="00C75094" w:rsidRPr="002B4CF5" w:rsidRDefault="00C75094" w:rsidP="00F350BE">
            <w:pPr>
              <w:jc w:val="right"/>
              <w:rPr>
                <w:sz w:val="16"/>
                <w:szCs w:val="16"/>
              </w:rPr>
            </w:pPr>
            <w:r>
              <w:rPr>
                <w:sz w:val="16"/>
                <w:szCs w:val="16"/>
              </w:rPr>
              <w:t>34,3</w:t>
            </w:r>
          </w:p>
        </w:tc>
        <w:tc>
          <w:tcPr>
            <w:tcW w:w="976" w:type="dxa"/>
            <w:shd w:val="clear" w:color="auto" w:fill="auto"/>
          </w:tcPr>
          <w:p w:rsidR="00C75094" w:rsidRPr="002B4CF5" w:rsidRDefault="00C75094" w:rsidP="00F350BE">
            <w:pPr>
              <w:jc w:val="right"/>
              <w:rPr>
                <w:sz w:val="16"/>
                <w:szCs w:val="16"/>
              </w:rPr>
            </w:pPr>
            <w:r>
              <w:rPr>
                <w:sz w:val="16"/>
                <w:szCs w:val="16"/>
              </w:rPr>
              <w:t>1 415 215,4</w:t>
            </w:r>
          </w:p>
        </w:tc>
        <w:tc>
          <w:tcPr>
            <w:tcW w:w="914" w:type="dxa"/>
          </w:tcPr>
          <w:p w:rsidR="00C75094" w:rsidRPr="002B4CF5" w:rsidRDefault="00C75094" w:rsidP="00F350BE">
            <w:pPr>
              <w:jc w:val="right"/>
              <w:rPr>
                <w:sz w:val="16"/>
                <w:szCs w:val="16"/>
              </w:rPr>
            </w:pPr>
            <w:r>
              <w:rPr>
                <w:sz w:val="16"/>
                <w:szCs w:val="16"/>
              </w:rPr>
              <w:t>53,5</w:t>
            </w:r>
          </w:p>
        </w:tc>
        <w:tc>
          <w:tcPr>
            <w:tcW w:w="1188" w:type="dxa"/>
            <w:shd w:val="clear" w:color="auto" w:fill="auto"/>
          </w:tcPr>
          <w:p w:rsidR="00C75094" w:rsidRPr="002B4CF5" w:rsidRDefault="00C75094" w:rsidP="00F350BE">
            <w:pPr>
              <w:jc w:val="right"/>
              <w:rPr>
                <w:sz w:val="16"/>
                <w:szCs w:val="16"/>
              </w:rPr>
            </w:pPr>
            <w:r>
              <w:rPr>
                <w:sz w:val="16"/>
                <w:szCs w:val="16"/>
              </w:rPr>
              <w:t>44,6</w:t>
            </w:r>
          </w:p>
        </w:tc>
        <w:tc>
          <w:tcPr>
            <w:tcW w:w="1105" w:type="dxa"/>
            <w:shd w:val="clear" w:color="auto" w:fill="auto"/>
          </w:tcPr>
          <w:p w:rsidR="00C75094" w:rsidRPr="002B4CF5" w:rsidRDefault="00C75094" w:rsidP="00F350BE">
            <w:pPr>
              <w:jc w:val="right"/>
              <w:rPr>
                <w:sz w:val="16"/>
                <w:szCs w:val="16"/>
              </w:rPr>
            </w:pPr>
            <w:r>
              <w:rPr>
                <w:sz w:val="16"/>
                <w:szCs w:val="16"/>
              </w:rPr>
              <w:t>-0,8</w:t>
            </w:r>
          </w:p>
        </w:tc>
      </w:tr>
      <w:tr w:rsidR="00C75094" w:rsidRPr="00CA7FD4" w:rsidTr="00F350BE">
        <w:tc>
          <w:tcPr>
            <w:tcW w:w="1242" w:type="dxa"/>
            <w:shd w:val="clear" w:color="auto" w:fill="auto"/>
          </w:tcPr>
          <w:p w:rsidR="00C75094" w:rsidRPr="002B4CF5" w:rsidRDefault="00C75094" w:rsidP="00F350BE">
            <w:pPr>
              <w:rPr>
                <w:sz w:val="16"/>
                <w:szCs w:val="16"/>
              </w:rPr>
            </w:pPr>
            <w:r w:rsidRPr="002B4CF5">
              <w:rPr>
                <w:sz w:val="16"/>
                <w:szCs w:val="16"/>
              </w:rPr>
              <w:t>Безвозмездные поступления</w:t>
            </w:r>
          </w:p>
        </w:tc>
        <w:tc>
          <w:tcPr>
            <w:tcW w:w="1055" w:type="dxa"/>
            <w:shd w:val="clear" w:color="auto" w:fill="auto"/>
          </w:tcPr>
          <w:p w:rsidR="00C75094" w:rsidRPr="002B4CF5" w:rsidRDefault="00C75094" w:rsidP="00F350BE">
            <w:pPr>
              <w:jc w:val="right"/>
              <w:rPr>
                <w:sz w:val="16"/>
                <w:szCs w:val="16"/>
              </w:rPr>
            </w:pPr>
          </w:p>
          <w:p w:rsidR="00C75094" w:rsidRPr="002B4CF5" w:rsidRDefault="00C75094" w:rsidP="00F350BE">
            <w:pPr>
              <w:jc w:val="right"/>
              <w:rPr>
                <w:sz w:val="16"/>
                <w:szCs w:val="16"/>
              </w:rPr>
            </w:pPr>
            <w:r>
              <w:rPr>
                <w:sz w:val="16"/>
                <w:szCs w:val="16"/>
              </w:rPr>
              <w:t>3 630 009,2</w:t>
            </w:r>
          </w:p>
        </w:tc>
        <w:tc>
          <w:tcPr>
            <w:tcW w:w="1067" w:type="dxa"/>
            <w:shd w:val="clear" w:color="auto" w:fill="auto"/>
          </w:tcPr>
          <w:p w:rsidR="00C75094" w:rsidRPr="002B4CF5" w:rsidRDefault="00C75094" w:rsidP="00F350BE">
            <w:pPr>
              <w:jc w:val="right"/>
              <w:rPr>
                <w:sz w:val="16"/>
                <w:szCs w:val="16"/>
              </w:rPr>
            </w:pPr>
          </w:p>
          <w:p w:rsidR="00C75094" w:rsidRPr="002B4CF5" w:rsidRDefault="00C75094" w:rsidP="00F350BE">
            <w:pPr>
              <w:jc w:val="right"/>
              <w:rPr>
                <w:sz w:val="16"/>
                <w:szCs w:val="16"/>
              </w:rPr>
            </w:pPr>
            <w:r>
              <w:rPr>
                <w:sz w:val="16"/>
                <w:szCs w:val="16"/>
              </w:rPr>
              <w:t>1 733 897,9</w:t>
            </w:r>
          </w:p>
        </w:tc>
        <w:tc>
          <w:tcPr>
            <w:tcW w:w="914" w:type="dxa"/>
          </w:tcPr>
          <w:p w:rsidR="00C75094" w:rsidRDefault="00C75094" w:rsidP="00F350BE">
            <w:pPr>
              <w:jc w:val="right"/>
              <w:rPr>
                <w:sz w:val="16"/>
                <w:szCs w:val="16"/>
              </w:rPr>
            </w:pPr>
          </w:p>
          <w:p w:rsidR="00C75094" w:rsidRPr="002B4CF5" w:rsidRDefault="00C75094" w:rsidP="00F350BE">
            <w:pPr>
              <w:jc w:val="right"/>
              <w:rPr>
                <w:sz w:val="16"/>
                <w:szCs w:val="16"/>
              </w:rPr>
            </w:pPr>
            <w:r>
              <w:rPr>
                <w:sz w:val="16"/>
                <w:szCs w:val="16"/>
              </w:rPr>
              <w:t>55,3</w:t>
            </w:r>
          </w:p>
        </w:tc>
        <w:tc>
          <w:tcPr>
            <w:tcW w:w="1145" w:type="dxa"/>
            <w:shd w:val="clear" w:color="auto" w:fill="auto"/>
          </w:tcPr>
          <w:p w:rsidR="00C75094" w:rsidRDefault="00C75094" w:rsidP="00F350BE">
            <w:pPr>
              <w:jc w:val="right"/>
              <w:rPr>
                <w:sz w:val="16"/>
                <w:szCs w:val="16"/>
              </w:rPr>
            </w:pPr>
          </w:p>
          <w:p w:rsidR="00C75094" w:rsidRPr="002B4CF5" w:rsidRDefault="00C75094" w:rsidP="00F350BE">
            <w:pPr>
              <w:jc w:val="right"/>
              <w:rPr>
                <w:sz w:val="16"/>
                <w:szCs w:val="16"/>
              </w:rPr>
            </w:pPr>
            <w:r>
              <w:rPr>
                <w:sz w:val="16"/>
                <w:szCs w:val="16"/>
              </w:rPr>
              <w:t>47,8</w:t>
            </w:r>
          </w:p>
        </w:tc>
        <w:tc>
          <w:tcPr>
            <w:tcW w:w="976" w:type="dxa"/>
            <w:shd w:val="clear" w:color="auto" w:fill="auto"/>
          </w:tcPr>
          <w:p w:rsidR="00C75094" w:rsidRDefault="00C75094" w:rsidP="00F350BE">
            <w:pPr>
              <w:jc w:val="right"/>
              <w:rPr>
                <w:sz w:val="16"/>
                <w:szCs w:val="16"/>
              </w:rPr>
            </w:pPr>
          </w:p>
          <w:p w:rsidR="00C75094" w:rsidRPr="002B4CF5" w:rsidRDefault="00C75094" w:rsidP="00F350BE">
            <w:pPr>
              <w:jc w:val="right"/>
              <w:rPr>
                <w:sz w:val="16"/>
                <w:szCs w:val="16"/>
              </w:rPr>
            </w:pPr>
            <w:r>
              <w:rPr>
                <w:sz w:val="16"/>
                <w:szCs w:val="16"/>
              </w:rPr>
              <w:t>1 229 115,5</w:t>
            </w:r>
          </w:p>
        </w:tc>
        <w:tc>
          <w:tcPr>
            <w:tcW w:w="914" w:type="dxa"/>
          </w:tcPr>
          <w:p w:rsidR="00C75094" w:rsidRDefault="00C75094" w:rsidP="00F350BE">
            <w:pPr>
              <w:jc w:val="right"/>
              <w:rPr>
                <w:sz w:val="16"/>
                <w:szCs w:val="16"/>
              </w:rPr>
            </w:pPr>
          </w:p>
          <w:p w:rsidR="00C75094" w:rsidRPr="002B4CF5" w:rsidRDefault="00C75094" w:rsidP="00F350BE">
            <w:pPr>
              <w:jc w:val="right"/>
              <w:rPr>
                <w:sz w:val="16"/>
                <w:szCs w:val="16"/>
              </w:rPr>
            </w:pPr>
            <w:r>
              <w:rPr>
                <w:sz w:val="16"/>
                <w:szCs w:val="16"/>
              </w:rPr>
              <w:t>46,5</w:t>
            </w:r>
          </w:p>
        </w:tc>
        <w:tc>
          <w:tcPr>
            <w:tcW w:w="1188" w:type="dxa"/>
            <w:shd w:val="clear" w:color="auto" w:fill="auto"/>
          </w:tcPr>
          <w:p w:rsidR="00C75094" w:rsidRDefault="00C75094" w:rsidP="00F350BE">
            <w:pPr>
              <w:jc w:val="right"/>
              <w:rPr>
                <w:sz w:val="16"/>
                <w:szCs w:val="16"/>
              </w:rPr>
            </w:pPr>
          </w:p>
          <w:p w:rsidR="00C75094" w:rsidRPr="002B4CF5" w:rsidRDefault="00C75094" w:rsidP="00F350BE">
            <w:pPr>
              <w:jc w:val="right"/>
              <w:rPr>
                <w:sz w:val="16"/>
                <w:szCs w:val="16"/>
              </w:rPr>
            </w:pPr>
            <w:r>
              <w:rPr>
                <w:sz w:val="16"/>
                <w:szCs w:val="16"/>
              </w:rPr>
              <w:t>43,8</w:t>
            </w:r>
          </w:p>
        </w:tc>
        <w:tc>
          <w:tcPr>
            <w:tcW w:w="1105" w:type="dxa"/>
            <w:shd w:val="clear" w:color="auto" w:fill="auto"/>
          </w:tcPr>
          <w:p w:rsidR="00C75094" w:rsidRPr="002B4CF5" w:rsidRDefault="00C75094" w:rsidP="00F350BE">
            <w:pPr>
              <w:jc w:val="right"/>
              <w:rPr>
                <w:sz w:val="16"/>
                <w:szCs w:val="16"/>
              </w:rPr>
            </w:pPr>
          </w:p>
          <w:p w:rsidR="00C75094" w:rsidRPr="002B4CF5" w:rsidRDefault="00C75094" w:rsidP="00F350BE">
            <w:pPr>
              <w:jc w:val="right"/>
              <w:rPr>
                <w:sz w:val="16"/>
                <w:szCs w:val="16"/>
              </w:rPr>
            </w:pPr>
            <w:r>
              <w:rPr>
                <w:sz w:val="16"/>
                <w:szCs w:val="16"/>
              </w:rPr>
              <w:t>+41,0</w:t>
            </w:r>
          </w:p>
        </w:tc>
      </w:tr>
      <w:tr w:rsidR="00C75094" w:rsidRPr="00CA7FD4" w:rsidTr="00F350BE">
        <w:tc>
          <w:tcPr>
            <w:tcW w:w="1242" w:type="dxa"/>
            <w:shd w:val="clear" w:color="auto" w:fill="auto"/>
          </w:tcPr>
          <w:p w:rsidR="00C75094" w:rsidRPr="002B4CF5" w:rsidRDefault="00C75094" w:rsidP="00F350BE">
            <w:pPr>
              <w:rPr>
                <w:sz w:val="16"/>
                <w:szCs w:val="16"/>
              </w:rPr>
            </w:pPr>
            <w:r w:rsidRPr="002B4CF5">
              <w:rPr>
                <w:sz w:val="16"/>
                <w:szCs w:val="16"/>
              </w:rPr>
              <w:t>Итого доходов</w:t>
            </w:r>
          </w:p>
        </w:tc>
        <w:tc>
          <w:tcPr>
            <w:tcW w:w="1055" w:type="dxa"/>
            <w:shd w:val="clear" w:color="auto" w:fill="auto"/>
          </w:tcPr>
          <w:p w:rsidR="00C75094" w:rsidRPr="002B4CF5" w:rsidRDefault="00C75094" w:rsidP="00F350BE">
            <w:pPr>
              <w:jc w:val="right"/>
              <w:rPr>
                <w:sz w:val="16"/>
                <w:szCs w:val="16"/>
              </w:rPr>
            </w:pPr>
            <w:r>
              <w:rPr>
                <w:sz w:val="16"/>
                <w:szCs w:val="16"/>
              </w:rPr>
              <w:t>7 724 551,7</w:t>
            </w:r>
          </w:p>
        </w:tc>
        <w:tc>
          <w:tcPr>
            <w:tcW w:w="1067" w:type="dxa"/>
            <w:shd w:val="clear" w:color="auto" w:fill="auto"/>
          </w:tcPr>
          <w:p w:rsidR="00C75094" w:rsidRPr="002B4CF5" w:rsidRDefault="00C75094" w:rsidP="00F350BE">
            <w:pPr>
              <w:jc w:val="right"/>
              <w:rPr>
                <w:sz w:val="16"/>
                <w:szCs w:val="16"/>
              </w:rPr>
            </w:pPr>
            <w:r>
              <w:rPr>
                <w:sz w:val="16"/>
                <w:szCs w:val="16"/>
              </w:rPr>
              <w:t>3 137 388,3</w:t>
            </w:r>
          </w:p>
        </w:tc>
        <w:tc>
          <w:tcPr>
            <w:tcW w:w="914" w:type="dxa"/>
          </w:tcPr>
          <w:p w:rsidR="00C75094" w:rsidRPr="002B4CF5" w:rsidRDefault="00C75094" w:rsidP="00F350BE">
            <w:pPr>
              <w:jc w:val="right"/>
              <w:rPr>
                <w:sz w:val="16"/>
                <w:szCs w:val="16"/>
              </w:rPr>
            </w:pPr>
            <w:r>
              <w:rPr>
                <w:sz w:val="16"/>
                <w:szCs w:val="16"/>
              </w:rPr>
              <w:t>100,0</w:t>
            </w:r>
          </w:p>
        </w:tc>
        <w:tc>
          <w:tcPr>
            <w:tcW w:w="1145" w:type="dxa"/>
            <w:shd w:val="clear" w:color="auto" w:fill="auto"/>
          </w:tcPr>
          <w:p w:rsidR="00C75094" w:rsidRPr="002B4CF5" w:rsidRDefault="00C75094" w:rsidP="00F350BE">
            <w:pPr>
              <w:jc w:val="right"/>
              <w:rPr>
                <w:sz w:val="16"/>
                <w:szCs w:val="16"/>
              </w:rPr>
            </w:pPr>
            <w:r>
              <w:rPr>
                <w:sz w:val="16"/>
                <w:szCs w:val="16"/>
              </w:rPr>
              <w:t>40,6</w:t>
            </w:r>
          </w:p>
        </w:tc>
        <w:tc>
          <w:tcPr>
            <w:tcW w:w="976" w:type="dxa"/>
            <w:shd w:val="clear" w:color="auto" w:fill="auto"/>
          </w:tcPr>
          <w:p w:rsidR="00C75094" w:rsidRPr="002B4CF5" w:rsidRDefault="00C75094" w:rsidP="00F350BE">
            <w:pPr>
              <w:jc w:val="right"/>
              <w:rPr>
                <w:sz w:val="16"/>
                <w:szCs w:val="16"/>
              </w:rPr>
            </w:pPr>
            <w:r>
              <w:rPr>
                <w:sz w:val="16"/>
                <w:szCs w:val="16"/>
              </w:rPr>
              <w:t>2 644 860,6</w:t>
            </w:r>
          </w:p>
        </w:tc>
        <w:tc>
          <w:tcPr>
            <w:tcW w:w="914" w:type="dxa"/>
          </w:tcPr>
          <w:p w:rsidR="00C75094" w:rsidRPr="002B4CF5" w:rsidRDefault="00C75094" w:rsidP="00F350BE">
            <w:pPr>
              <w:jc w:val="right"/>
              <w:rPr>
                <w:sz w:val="16"/>
                <w:szCs w:val="16"/>
              </w:rPr>
            </w:pPr>
            <w:r>
              <w:rPr>
                <w:sz w:val="16"/>
                <w:szCs w:val="16"/>
              </w:rPr>
              <w:t>100,0</w:t>
            </w:r>
          </w:p>
        </w:tc>
        <w:tc>
          <w:tcPr>
            <w:tcW w:w="1188" w:type="dxa"/>
            <w:shd w:val="clear" w:color="auto" w:fill="auto"/>
          </w:tcPr>
          <w:p w:rsidR="00C75094" w:rsidRPr="002B4CF5" w:rsidRDefault="00C75094" w:rsidP="00F350BE">
            <w:pPr>
              <w:jc w:val="right"/>
              <w:rPr>
                <w:sz w:val="16"/>
                <w:szCs w:val="16"/>
              </w:rPr>
            </w:pPr>
            <w:r>
              <w:rPr>
                <w:sz w:val="16"/>
                <w:szCs w:val="16"/>
              </w:rPr>
              <w:t>44,2</w:t>
            </w:r>
          </w:p>
        </w:tc>
        <w:tc>
          <w:tcPr>
            <w:tcW w:w="1105" w:type="dxa"/>
            <w:shd w:val="clear" w:color="auto" w:fill="auto"/>
          </w:tcPr>
          <w:p w:rsidR="00C75094" w:rsidRPr="002B4CF5" w:rsidRDefault="00C75094" w:rsidP="00F350BE">
            <w:pPr>
              <w:jc w:val="right"/>
              <w:rPr>
                <w:sz w:val="16"/>
                <w:szCs w:val="16"/>
              </w:rPr>
            </w:pPr>
            <w:r>
              <w:rPr>
                <w:sz w:val="16"/>
                <w:szCs w:val="16"/>
              </w:rPr>
              <w:t>+18,6</w:t>
            </w:r>
          </w:p>
        </w:tc>
      </w:tr>
      <w:tr w:rsidR="00C75094" w:rsidRPr="00CA7FD4" w:rsidTr="00F350BE">
        <w:tc>
          <w:tcPr>
            <w:tcW w:w="1242" w:type="dxa"/>
            <w:shd w:val="clear" w:color="auto" w:fill="auto"/>
          </w:tcPr>
          <w:p w:rsidR="00C75094" w:rsidRPr="002B4CF5" w:rsidRDefault="00C75094" w:rsidP="00F350BE">
            <w:pPr>
              <w:rPr>
                <w:sz w:val="16"/>
                <w:szCs w:val="16"/>
              </w:rPr>
            </w:pPr>
            <w:r w:rsidRPr="002B4CF5">
              <w:rPr>
                <w:sz w:val="16"/>
                <w:szCs w:val="16"/>
              </w:rPr>
              <w:t>Итого расходов</w:t>
            </w:r>
          </w:p>
        </w:tc>
        <w:tc>
          <w:tcPr>
            <w:tcW w:w="1055" w:type="dxa"/>
            <w:shd w:val="clear" w:color="auto" w:fill="auto"/>
          </w:tcPr>
          <w:p w:rsidR="00C75094" w:rsidRPr="002B4CF5" w:rsidRDefault="00C75094" w:rsidP="00F350BE">
            <w:pPr>
              <w:jc w:val="right"/>
              <w:rPr>
                <w:sz w:val="16"/>
                <w:szCs w:val="16"/>
              </w:rPr>
            </w:pPr>
            <w:r>
              <w:rPr>
                <w:sz w:val="16"/>
                <w:szCs w:val="16"/>
              </w:rPr>
              <w:t>8 396 702,3</w:t>
            </w:r>
          </w:p>
        </w:tc>
        <w:tc>
          <w:tcPr>
            <w:tcW w:w="1067" w:type="dxa"/>
            <w:shd w:val="clear" w:color="auto" w:fill="auto"/>
          </w:tcPr>
          <w:p w:rsidR="00C75094" w:rsidRPr="002B4CF5" w:rsidRDefault="00C75094" w:rsidP="00F350BE">
            <w:pPr>
              <w:jc w:val="right"/>
              <w:rPr>
                <w:sz w:val="16"/>
                <w:szCs w:val="16"/>
              </w:rPr>
            </w:pPr>
            <w:r>
              <w:rPr>
                <w:sz w:val="16"/>
                <w:szCs w:val="16"/>
              </w:rPr>
              <w:t>4 041 801,8</w:t>
            </w:r>
          </w:p>
        </w:tc>
        <w:tc>
          <w:tcPr>
            <w:tcW w:w="914" w:type="dxa"/>
          </w:tcPr>
          <w:p w:rsidR="00C75094" w:rsidRPr="002B4CF5" w:rsidRDefault="00C75094" w:rsidP="00F350BE">
            <w:pPr>
              <w:jc w:val="right"/>
              <w:rPr>
                <w:sz w:val="16"/>
                <w:szCs w:val="16"/>
              </w:rPr>
            </w:pPr>
            <w:r>
              <w:rPr>
                <w:sz w:val="16"/>
                <w:szCs w:val="16"/>
              </w:rPr>
              <w:t>х</w:t>
            </w:r>
          </w:p>
        </w:tc>
        <w:tc>
          <w:tcPr>
            <w:tcW w:w="1145" w:type="dxa"/>
            <w:shd w:val="clear" w:color="auto" w:fill="auto"/>
          </w:tcPr>
          <w:p w:rsidR="00C75094" w:rsidRPr="002B4CF5" w:rsidRDefault="00C75094" w:rsidP="00F350BE">
            <w:pPr>
              <w:jc w:val="right"/>
              <w:rPr>
                <w:sz w:val="16"/>
                <w:szCs w:val="16"/>
              </w:rPr>
            </w:pPr>
            <w:r>
              <w:rPr>
                <w:sz w:val="16"/>
                <w:szCs w:val="16"/>
              </w:rPr>
              <w:t>48,1</w:t>
            </w:r>
          </w:p>
        </w:tc>
        <w:tc>
          <w:tcPr>
            <w:tcW w:w="976" w:type="dxa"/>
            <w:shd w:val="clear" w:color="auto" w:fill="auto"/>
          </w:tcPr>
          <w:p w:rsidR="00C75094" w:rsidRPr="002B4CF5" w:rsidRDefault="00C75094" w:rsidP="00F350BE">
            <w:pPr>
              <w:jc w:val="right"/>
              <w:rPr>
                <w:sz w:val="16"/>
                <w:szCs w:val="16"/>
              </w:rPr>
            </w:pPr>
            <w:r>
              <w:rPr>
                <w:sz w:val="16"/>
                <w:szCs w:val="16"/>
              </w:rPr>
              <w:t>2 581 971,8</w:t>
            </w:r>
          </w:p>
        </w:tc>
        <w:tc>
          <w:tcPr>
            <w:tcW w:w="914" w:type="dxa"/>
          </w:tcPr>
          <w:p w:rsidR="00C75094" w:rsidRPr="002B4CF5" w:rsidRDefault="00C75094" w:rsidP="00F350BE">
            <w:pPr>
              <w:jc w:val="right"/>
              <w:rPr>
                <w:sz w:val="16"/>
                <w:szCs w:val="16"/>
              </w:rPr>
            </w:pPr>
            <w:r>
              <w:rPr>
                <w:sz w:val="16"/>
                <w:szCs w:val="16"/>
              </w:rPr>
              <w:t>х</w:t>
            </w:r>
          </w:p>
        </w:tc>
        <w:tc>
          <w:tcPr>
            <w:tcW w:w="1188" w:type="dxa"/>
            <w:shd w:val="clear" w:color="auto" w:fill="auto"/>
          </w:tcPr>
          <w:p w:rsidR="00C75094" w:rsidRPr="002B4CF5" w:rsidRDefault="00C75094" w:rsidP="00F350BE">
            <w:pPr>
              <w:jc w:val="right"/>
              <w:rPr>
                <w:sz w:val="16"/>
                <w:szCs w:val="16"/>
              </w:rPr>
            </w:pPr>
            <w:r>
              <w:rPr>
                <w:sz w:val="16"/>
                <w:szCs w:val="16"/>
              </w:rPr>
              <w:t>40,8</w:t>
            </w:r>
          </w:p>
        </w:tc>
        <w:tc>
          <w:tcPr>
            <w:tcW w:w="1105" w:type="dxa"/>
            <w:shd w:val="clear" w:color="auto" w:fill="auto"/>
          </w:tcPr>
          <w:p w:rsidR="00C75094" w:rsidRPr="002B4CF5" w:rsidRDefault="00C75094" w:rsidP="00F350BE">
            <w:pPr>
              <w:jc w:val="right"/>
              <w:rPr>
                <w:sz w:val="16"/>
                <w:szCs w:val="16"/>
              </w:rPr>
            </w:pPr>
            <w:r>
              <w:rPr>
                <w:sz w:val="16"/>
                <w:szCs w:val="16"/>
              </w:rPr>
              <w:t>+56,5</w:t>
            </w:r>
          </w:p>
        </w:tc>
      </w:tr>
      <w:tr w:rsidR="00C75094" w:rsidRPr="00CA7FD4" w:rsidTr="00F350BE">
        <w:tc>
          <w:tcPr>
            <w:tcW w:w="1242" w:type="dxa"/>
            <w:shd w:val="clear" w:color="auto" w:fill="auto"/>
          </w:tcPr>
          <w:p w:rsidR="00C75094" w:rsidRPr="002B4CF5" w:rsidRDefault="00C75094" w:rsidP="00F350BE">
            <w:pPr>
              <w:rPr>
                <w:sz w:val="16"/>
                <w:szCs w:val="16"/>
              </w:rPr>
            </w:pPr>
            <w:r w:rsidRPr="002B4CF5">
              <w:rPr>
                <w:sz w:val="16"/>
                <w:szCs w:val="16"/>
              </w:rPr>
              <w:t xml:space="preserve">Дефицит  </w:t>
            </w:r>
          </w:p>
        </w:tc>
        <w:tc>
          <w:tcPr>
            <w:tcW w:w="1055" w:type="dxa"/>
            <w:shd w:val="clear" w:color="auto" w:fill="auto"/>
          </w:tcPr>
          <w:p w:rsidR="00C75094" w:rsidRPr="002B4CF5" w:rsidRDefault="00C75094" w:rsidP="00F350BE">
            <w:pPr>
              <w:jc w:val="right"/>
              <w:rPr>
                <w:sz w:val="16"/>
                <w:szCs w:val="16"/>
              </w:rPr>
            </w:pPr>
            <w:r>
              <w:rPr>
                <w:sz w:val="16"/>
                <w:szCs w:val="16"/>
              </w:rPr>
              <w:t>672 150,6</w:t>
            </w:r>
          </w:p>
        </w:tc>
        <w:tc>
          <w:tcPr>
            <w:tcW w:w="1067" w:type="dxa"/>
            <w:shd w:val="clear" w:color="auto" w:fill="auto"/>
          </w:tcPr>
          <w:p w:rsidR="00C75094" w:rsidRPr="002B4CF5" w:rsidRDefault="00C75094" w:rsidP="00F350BE">
            <w:pPr>
              <w:jc w:val="right"/>
              <w:rPr>
                <w:sz w:val="16"/>
                <w:szCs w:val="16"/>
              </w:rPr>
            </w:pPr>
            <w:r>
              <w:rPr>
                <w:sz w:val="16"/>
                <w:szCs w:val="16"/>
              </w:rPr>
              <w:t>904 413,5</w:t>
            </w:r>
          </w:p>
        </w:tc>
        <w:tc>
          <w:tcPr>
            <w:tcW w:w="914" w:type="dxa"/>
          </w:tcPr>
          <w:p w:rsidR="00C75094" w:rsidRPr="002B4CF5" w:rsidRDefault="00C75094" w:rsidP="00F350BE">
            <w:pPr>
              <w:jc w:val="right"/>
              <w:rPr>
                <w:sz w:val="16"/>
                <w:szCs w:val="16"/>
              </w:rPr>
            </w:pPr>
            <w:r>
              <w:rPr>
                <w:sz w:val="16"/>
                <w:szCs w:val="16"/>
              </w:rPr>
              <w:t>х</w:t>
            </w:r>
          </w:p>
        </w:tc>
        <w:tc>
          <w:tcPr>
            <w:tcW w:w="1145" w:type="dxa"/>
            <w:shd w:val="clear" w:color="auto" w:fill="auto"/>
          </w:tcPr>
          <w:p w:rsidR="00C75094" w:rsidRPr="002B4CF5" w:rsidRDefault="00C75094" w:rsidP="00F350BE">
            <w:pPr>
              <w:jc w:val="right"/>
              <w:rPr>
                <w:sz w:val="16"/>
                <w:szCs w:val="16"/>
              </w:rPr>
            </w:pPr>
            <w:r>
              <w:rPr>
                <w:sz w:val="16"/>
                <w:szCs w:val="16"/>
              </w:rPr>
              <w:t>134,6</w:t>
            </w:r>
          </w:p>
        </w:tc>
        <w:tc>
          <w:tcPr>
            <w:tcW w:w="976" w:type="dxa"/>
            <w:shd w:val="clear" w:color="auto" w:fill="auto"/>
          </w:tcPr>
          <w:p w:rsidR="00C75094" w:rsidRPr="002B4CF5" w:rsidRDefault="00C75094" w:rsidP="00F350BE">
            <w:pPr>
              <w:jc w:val="right"/>
              <w:rPr>
                <w:sz w:val="16"/>
                <w:szCs w:val="16"/>
              </w:rPr>
            </w:pPr>
            <w:r w:rsidRPr="002B4CF5">
              <w:rPr>
                <w:sz w:val="16"/>
                <w:szCs w:val="16"/>
              </w:rPr>
              <w:t>х</w:t>
            </w:r>
          </w:p>
        </w:tc>
        <w:tc>
          <w:tcPr>
            <w:tcW w:w="914" w:type="dxa"/>
          </w:tcPr>
          <w:p w:rsidR="00C75094" w:rsidRPr="002B4CF5" w:rsidRDefault="00C75094" w:rsidP="00F350BE">
            <w:pPr>
              <w:jc w:val="right"/>
              <w:rPr>
                <w:sz w:val="16"/>
                <w:szCs w:val="16"/>
              </w:rPr>
            </w:pPr>
            <w:r>
              <w:rPr>
                <w:sz w:val="16"/>
                <w:szCs w:val="16"/>
              </w:rPr>
              <w:t>х</w:t>
            </w:r>
          </w:p>
        </w:tc>
        <w:tc>
          <w:tcPr>
            <w:tcW w:w="1188" w:type="dxa"/>
            <w:shd w:val="clear" w:color="auto" w:fill="auto"/>
          </w:tcPr>
          <w:p w:rsidR="00C75094" w:rsidRPr="002B4CF5" w:rsidRDefault="00C75094" w:rsidP="00F350BE">
            <w:pPr>
              <w:jc w:val="right"/>
              <w:rPr>
                <w:sz w:val="16"/>
                <w:szCs w:val="16"/>
              </w:rPr>
            </w:pPr>
            <w:r w:rsidRPr="002B4CF5">
              <w:rPr>
                <w:sz w:val="16"/>
                <w:szCs w:val="16"/>
              </w:rPr>
              <w:t>х</w:t>
            </w:r>
          </w:p>
        </w:tc>
        <w:tc>
          <w:tcPr>
            <w:tcW w:w="1105" w:type="dxa"/>
            <w:shd w:val="clear" w:color="auto" w:fill="auto"/>
          </w:tcPr>
          <w:p w:rsidR="00C75094" w:rsidRPr="002B4CF5" w:rsidRDefault="00C75094" w:rsidP="00F350BE">
            <w:pPr>
              <w:jc w:val="right"/>
              <w:rPr>
                <w:sz w:val="16"/>
                <w:szCs w:val="16"/>
              </w:rPr>
            </w:pPr>
            <w:r w:rsidRPr="002B4CF5">
              <w:rPr>
                <w:sz w:val="16"/>
                <w:szCs w:val="16"/>
              </w:rPr>
              <w:t>х</w:t>
            </w:r>
          </w:p>
        </w:tc>
      </w:tr>
      <w:tr w:rsidR="00C75094" w:rsidRPr="00CA7FD4" w:rsidTr="00F350BE">
        <w:tc>
          <w:tcPr>
            <w:tcW w:w="1242" w:type="dxa"/>
            <w:shd w:val="clear" w:color="auto" w:fill="auto"/>
          </w:tcPr>
          <w:p w:rsidR="00C75094" w:rsidRPr="002B4CF5" w:rsidRDefault="00C75094" w:rsidP="00F350BE">
            <w:pPr>
              <w:rPr>
                <w:sz w:val="16"/>
                <w:szCs w:val="16"/>
              </w:rPr>
            </w:pPr>
            <w:r w:rsidRPr="002B4CF5">
              <w:rPr>
                <w:sz w:val="16"/>
                <w:szCs w:val="16"/>
              </w:rPr>
              <w:t xml:space="preserve">Профицит </w:t>
            </w:r>
          </w:p>
        </w:tc>
        <w:tc>
          <w:tcPr>
            <w:tcW w:w="1055" w:type="dxa"/>
            <w:shd w:val="clear" w:color="auto" w:fill="auto"/>
          </w:tcPr>
          <w:p w:rsidR="00C75094" w:rsidRPr="002B4CF5" w:rsidRDefault="00C75094" w:rsidP="00F350BE">
            <w:pPr>
              <w:jc w:val="right"/>
              <w:rPr>
                <w:sz w:val="16"/>
                <w:szCs w:val="16"/>
              </w:rPr>
            </w:pPr>
            <w:r w:rsidRPr="002B4CF5">
              <w:rPr>
                <w:sz w:val="16"/>
                <w:szCs w:val="16"/>
              </w:rPr>
              <w:t>х</w:t>
            </w:r>
          </w:p>
        </w:tc>
        <w:tc>
          <w:tcPr>
            <w:tcW w:w="1067" w:type="dxa"/>
            <w:shd w:val="clear" w:color="auto" w:fill="auto"/>
          </w:tcPr>
          <w:p w:rsidR="00C75094" w:rsidRPr="002B4CF5" w:rsidRDefault="00C75094" w:rsidP="00F350BE">
            <w:pPr>
              <w:jc w:val="right"/>
              <w:rPr>
                <w:sz w:val="16"/>
                <w:szCs w:val="16"/>
              </w:rPr>
            </w:pPr>
            <w:r w:rsidRPr="002B4CF5">
              <w:rPr>
                <w:sz w:val="16"/>
                <w:szCs w:val="16"/>
              </w:rPr>
              <w:t>х</w:t>
            </w:r>
          </w:p>
        </w:tc>
        <w:tc>
          <w:tcPr>
            <w:tcW w:w="914" w:type="dxa"/>
          </w:tcPr>
          <w:p w:rsidR="00C75094" w:rsidRPr="002B4CF5" w:rsidRDefault="00C75094" w:rsidP="00F350BE">
            <w:pPr>
              <w:jc w:val="right"/>
              <w:rPr>
                <w:sz w:val="16"/>
                <w:szCs w:val="16"/>
              </w:rPr>
            </w:pPr>
            <w:r>
              <w:rPr>
                <w:sz w:val="16"/>
                <w:szCs w:val="16"/>
              </w:rPr>
              <w:t>х</w:t>
            </w:r>
          </w:p>
        </w:tc>
        <w:tc>
          <w:tcPr>
            <w:tcW w:w="1145" w:type="dxa"/>
            <w:shd w:val="clear" w:color="auto" w:fill="auto"/>
          </w:tcPr>
          <w:p w:rsidR="00C75094" w:rsidRPr="002B4CF5" w:rsidRDefault="00C75094" w:rsidP="00F350BE">
            <w:pPr>
              <w:jc w:val="right"/>
              <w:rPr>
                <w:sz w:val="16"/>
                <w:szCs w:val="16"/>
              </w:rPr>
            </w:pPr>
            <w:r w:rsidRPr="002B4CF5">
              <w:rPr>
                <w:sz w:val="16"/>
                <w:szCs w:val="16"/>
              </w:rPr>
              <w:t>х</w:t>
            </w:r>
          </w:p>
        </w:tc>
        <w:tc>
          <w:tcPr>
            <w:tcW w:w="976" w:type="dxa"/>
            <w:shd w:val="clear" w:color="auto" w:fill="auto"/>
          </w:tcPr>
          <w:p w:rsidR="00C75094" w:rsidRPr="002B4CF5" w:rsidRDefault="00C75094" w:rsidP="00F350BE">
            <w:pPr>
              <w:jc w:val="right"/>
              <w:rPr>
                <w:sz w:val="16"/>
                <w:szCs w:val="16"/>
              </w:rPr>
            </w:pPr>
            <w:r>
              <w:rPr>
                <w:sz w:val="16"/>
                <w:szCs w:val="16"/>
              </w:rPr>
              <w:t>62 888,8</w:t>
            </w:r>
          </w:p>
        </w:tc>
        <w:tc>
          <w:tcPr>
            <w:tcW w:w="914" w:type="dxa"/>
          </w:tcPr>
          <w:p w:rsidR="00C75094" w:rsidRPr="002B4CF5" w:rsidRDefault="00C75094" w:rsidP="00F350BE">
            <w:pPr>
              <w:jc w:val="right"/>
              <w:rPr>
                <w:sz w:val="16"/>
                <w:szCs w:val="16"/>
              </w:rPr>
            </w:pPr>
            <w:r>
              <w:rPr>
                <w:sz w:val="16"/>
                <w:szCs w:val="16"/>
              </w:rPr>
              <w:t>х</w:t>
            </w:r>
          </w:p>
        </w:tc>
        <w:tc>
          <w:tcPr>
            <w:tcW w:w="1188" w:type="dxa"/>
            <w:shd w:val="clear" w:color="auto" w:fill="auto"/>
          </w:tcPr>
          <w:p w:rsidR="00C75094" w:rsidRPr="002B4CF5" w:rsidRDefault="00C75094" w:rsidP="00F350BE">
            <w:pPr>
              <w:jc w:val="right"/>
              <w:rPr>
                <w:sz w:val="16"/>
                <w:szCs w:val="16"/>
              </w:rPr>
            </w:pPr>
            <w:r w:rsidRPr="002B4CF5">
              <w:rPr>
                <w:sz w:val="16"/>
                <w:szCs w:val="16"/>
              </w:rPr>
              <w:t>х</w:t>
            </w:r>
          </w:p>
        </w:tc>
        <w:tc>
          <w:tcPr>
            <w:tcW w:w="1105" w:type="dxa"/>
            <w:shd w:val="clear" w:color="auto" w:fill="auto"/>
          </w:tcPr>
          <w:p w:rsidR="00C75094" w:rsidRPr="002B4CF5" w:rsidRDefault="00C75094" w:rsidP="00F350BE">
            <w:pPr>
              <w:jc w:val="right"/>
              <w:rPr>
                <w:sz w:val="16"/>
                <w:szCs w:val="16"/>
              </w:rPr>
            </w:pPr>
            <w:r w:rsidRPr="002B4CF5">
              <w:rPr>
                <w:sz w:val="16"/>
                <w:szCs w:val="16"/>
              </w:rPr>
              <w:t>х</w:t>
            </w:r>
          </w:p>
        </w:tc>
      </w:tr>
    </w:tbl>
    <w:p w:rsidR="00C75094" w:rsidRDefault="00C75094" w:rsidP="00C75094">
      <w:pPr>
        <w:spacing w:line="360" w:lineRule="auto"/>
        <w:ind w:firstLine="709"/>
        <w:jc w:val="both"/>
        <w:rPr>
          <w:b/>
          <w:i/>
          <w:sz w:val="26"/>
          <w:szCs w:val="26"/>
        </w:rPr>
      </w:pPr>
    </w:p>
    <w:p w:rsidR="00C75094" w:rsidRPr="00B10917" w:rsidRDefault="00C75094" w:rsidP="00C75094">
      <w:pPr>
        <w:spacing w:line="360" w:lineRule="auto"/>
        <w:ind w:firstLine="709"/>
        <w:jc w:val="both"/>
        <w:rPr>
          <w:b/>
          <w:i/>
          <w:sz w:val="26"/>
          <w:szCs w:val="26"/>
        </w:rPr>
      </w:pPr>
      <w:r w:rsidRPr="00B10917">
        <w:rPr>
          <w:sz w:val="26"/>
          <w:szCs w:val="26"/>
        </w:rPr>
        <w:t xml:space="preserve">В бюджет города Вологды за </w:t>
      </w:r>
      <w:r w:rsidRPr="00B10917">
        <w:rPr>
          <w:sz w:val="26"/>
          <w:szCs w:val="26"/>
          <w:lang w:val="en-US"/>
        </w:rPr>
        <w:t>I</w:t>
      </w:r>
      <w:r w:rsidRPr="00B10917">
        <w:rPr>
          <w:sz w:val="26"/>
          <w:szCs w:val="26"/>
        </w:rPr>
        <w:t xml:space="preserve"> полугодие 2013 года поступили </w:t>
      </w:r>
      <w:r w:rsidRPr="00B10917">
        <w:rPr>
          <w:b/>
          <w:i/>
          <w:sz w:val="26"/>
          <w:szCs w:val="26"/>
        </w:rPr>
        <w:t xml:space="preserve">доходы </w:t>
      </w:r>
      <w:r w:rsidRPr="00B10917">
        <w:rPr>
          <w:sz w:val="26"/>
          <w:szCs w:val="26"/>
        </w:rPr>
        <w:t xml:space="preserve">в сумме </w:t>
      </w:r>
      <w:r w:rsidRPr="00B10917">
        <w:rPr>
          <w:b/>
          <w:i/>
          <w:sz w:val="26"/>
          <w:szCs w:val="26"/>
        </w:rPr>
        <w:t xml:space="preserve">3 137,4 </w:t>
      </w:r>
      <w:r w:rsidRPr="00B10917">
        <w:rPr>
          <w:sz w:val="26"/>
          <w:szCs w:val="26"/>
        </w:rPr>
        <w:t xml:space="preserve">млн рублей, или </w:t>
      </w:r>
      <w:r w:rsidRPr="00B10917">
        <w:rPr>
          <w:b/>
          <w:i/>
          <w:sz w:val="26"/>
          <w:szCs w:val="26"/>
        </w:rPr>
        <w:t>40,6%</w:t>
      </w:r>
      <w:r w:rsidRPr="00B10917">
        <w:rPr>
          <w:sz w:val="26"/>
          <w:szCs w:val="26"/>
        </w:rPr>
        <w:t xml:space="preserve"> от утвержденного бюджета на 2013 год. Не смотря на увеличение объемов поступлений доходов в сравнении с аналогичным </w:t>
      </w:r>
      <w:r w:rsidRPr="00B10917">
        <w:rPr>
          <w:sz w:val="26"/>
          <w:szCs w:val="26"/>
        </w:rPr>
        <w:lastRenderedPageBreak/>
        <w:t xml:space="preserve">периодом 2012 года на 492,5 млн рублей, исполнение годовых назначений сократилось с 44,2% за 1 полугодие 2012 года до 40,6% за отчетный период. </w:t>
      </w:r>
    </w:p>
    <w:p w:rsidR="00C75094" w:rsidRPr="00B10917" w:rsidRDefault="00C75094" w:rsidP="00C75094">
      <w:pPr>
        <w:spacing w:line="360" w:lineRule="auto"/>
        <w:ind w:firstLine="709"/>
        <w:jc w:val="both"/>
        <w:rPr>
          <w:sz w:val="26"/>
          <w:szCs w:val="26"/>
        </w:rPr>
      </w:pPr>
      <w:r w:rsidRPr="00B10917">
        <w:rPr>
          <w:b/>
          <w:i/>
          <w:sz w:val="26"/>
          <w:szCs w:val="26"/>
        </w:rPr>
        <w:t xml:space="preserve">По налоговым и неналоговым доходам </w:t>
      </w:r>
      <w:r w:rsidRPr="00B10917">
        <w:rPr>
          <w:sz w:val="26"/>
          <w:szCs w:val="26"/>
        </w:rPr>
        <w:t>бюджет города</w:t>
      </w:r>
      <w:r w:rsidRPr="00B10917">
        <w:rPr>
          <w:b/>
          <w:i/>
          <w:sz w:val="26"/>
          <w:szCs w:val="26"/>
        </w:rPr>
        <w:t xml:space="preserve"> </w:t>
      </w:r>
      <w:r w:rsidRPr="00B10917">
        <w:rPr>
          <w:sz w:val="26"/>
          <w:szCs w:val="26"/>
        </w:rPr>
        <w:t>исполнен</w:t>
      </w:r>
      <w:r w:rsidRPr="00B10917">
        <w:rPr>
          <w:b/>
          <w:i/>
          <w:sz w:val="26"/>
          <w:szCs w:val="26"/>
        </w:rPr>
        <w:t xml:space="preserve"> </w:t>
      </w:r>
      <w:r w:rsidRPr="00B10917">
        <w:rPr>
          <w:sz w:val="26"/>
          <w:szCs w:val="26"/>
        </w:rPr>
        <w:t xml:space="preserve">в сумме </w:t>
      </w:r>
      <w:r w:rsidRPr="00B10917">
        <w:rPr>
          <w:b/>
          <w:i/>
          <w:sz w:val="26"/>
          <w:szCs w:val="26"/>
        </w:rPr>
        <w:t>1403,5</w:t>
      </w:r>
      <w:r w:rsidRPr="00B10917">
        <w:rPr>
          <w:sz w:val="26"/>
          <w:szCs w:val="26"/>
        </w:rPr>
        <w:t xml:space="preserve"> млн рублей (</w:t>
      </w:r>
      <w:r w:rsidRPr="00B10917">
        <w:rPr>
          <w:b/>
          <w:i/>
          <w:sz w:val="26"/>
          <w:szCs w:val="26"/>
        </w:rPr>
        <w:t>34,3</w:t>
      </w:r>
      <w:r w:rsidRPr="00B10917">
        <w:rPr>
          <w:sz w:val="26"/>
          <w:szCs w:val="26"/>
        </w:rPr>
        <w:t>% от утвержденных бюджетных назначений)</w:t>
      </w:r>
      <w:r>
        <w:rPr>
          <w:sz w:val="26"/>
          <w:szCs w:val="26"/>
        </w:rPr>
        <w:t>.</w:t>
      </w:r>
      <w:r w:rsidRPr="00576779">
        <w:rPr>
          <w:sz w:val="26"/>
          <w:szCs w:val="26"/>
        </w:rPr>
        <w:t xml:space="preserve"> </w:t>
      </w:r>
      <w:r>
        <w:rPr>
          <w:sz w:val="26"/>
          <w:szCs w:val="26"/>
        </w:rPr>
        <w:t>В</w:t>
      </w:r>
      <w:r w:rsidRPr="00B10917">
        <w:rPr>
          <w:sz w:val="26"/>
          <w:szCs w:val="26"/>
        </w:rPr>
        <w:t xml:space="preserve"> сравнении с аналогичным периодом предыдущего года </w:t>
      </w:r>
      <w:r>
        <w:rPr>
          <w:sz w:val="26"/>
          <w:szCs w:val="26"/>
        </w:rPr>
        <w:t xml:space="preserve">их поступление </w:t>
      </w:r>
      <w:r w:rsidRPr="00B10917">
        <w:rPr>
          <w:sz w:val="26"/>
          <w:szCs w:val="26"/>
        </w:rPr>
        <w:t xml:space="preserve">сократилось на 11,7 млн рублей, или 0,8 процента. </w:t>
      </w:r>
      <w:r>
        <w:rPr>
          <w:sz w:val="26"/>
          <w:szCs w:val="26"/>
        </w:rPr>
        <w:t>У</w:t>
      </w:r>
      <w:r w:rsidRPr="00B10917">
        <w:rPr>
          <w:sz w:val="26"/>
          <w:szCs w:val="26"/>
        </w:rPr>
        <w:t xml:space="preserve">дельный вес в доходах бюджета города </w:t>
      </w:r>
      <w:r>
        <w:rPr>
          <w:sz w:val="26"/>
          <w:szCs w:val="26"/>
        </w:rPr>
        <w:t xml:space="preserve">налоговых и неналоговых доходов </w:t>
      </w:r>
      <w:r w:rsidRPr="00B10917">
        <w:rPr>
          <w:sz w:val="26"/>
          <w:szCs w:val="26"/>
        </w:rPr>
        <w:t xml:space="preserve">составил 44,7%, уменьшился в сравнении с </w:t>
      </w:r>
      <w:r w:rsidRPr="00B10917">
        <w:rPr>
          <w:sz w:val="26"/>
          <w:szCs w:val="26"/>
          <w:lang w:val="en-US"/>
        </w:rPr>
        <w:t>I</w:t>
      </w:r>
      <w:r w:rsidRPr="00B10917">
        <w:rPr>
          <w:sz w:val="26"/>
          <w:szCs w:val="26"/>
        </w:rPr>
        <w:t xml:space="preserve"> полугодием 2012 года на 8,8 процентных пункта.</w:t>
      </w:r>
    </w:p>
    <w:p w:rsidR="00C75094" w:rsidRDefault="00C75094" w:rsidP="00C75094">
      <w:pPr>
        <w:spacing w:line="360" w:lineRule="auto"/>
        <w:ind w:firstLine="709"/>
        <w:jc w:val="both"/>
        <w:rPr>
          <w:sz w:val="26"/>
          <w:szCs w:val="26"/>
        </w:rPr>
      </w:pPr>
      <w:r w:rsidRPr="00B10917">
        <w:rPr>
          <w:sz w:val="26"/>
          <w:szCs w:val="26"/>
        </w:rPr>
        <w:t>Основным доходным источником бюджета города продолжает оставаться налог на доходы физических лиц,</w:t>
      </w:r>
      <w:r>
        <w:rPr>
          <w:sz w:val="26"/>
          <w:szCs w:val="26"/>
        </w:rPr>
        <w:t xml:space="preserve"> объем поступления которого за отчетный период составил </w:t>
      </w:r>
      <w:r w:rsidRPr="00B10917">
        <w:rPr>
          <w:sz w:val="26"/>
          <w:szCs w:val="26"/>
        </w:rPr>
        <w:t>478,1 млн рублей, или 40,7% от годовых назначений</w:t>
      </w:r>
      <w:r>
        <w:rPr>
          <w:sz w:val="26"/>
          <w:szCs w:val="26"/>
        </w:rPr>
        <w:t>. Несмотря на увеличение объемов поступлений в сравнении с аналогичным периодом 2012 года на 33,5 млн рублей (на 7,5%), исполнение годовых назначений идет со значительным отставанием. Рост среднемесячной заработной платы за январь – май 2013 года к аналогичному периоду 2012 года составил 11,2 процента</w:t>
      </w:r>
      <w:r>
        <w:rPr>
          <w:rStyle w:val="a5"/>
          <w:sz w:val="26"/>
          <w:szCs w:val="26"/>
        </w:rPr>
        <w:footnoteReference w:id="1"/>
      </w:r>
      <w:r>
        <w:rPr>
          <w:sz w:val="26"/>
          <w:szCs w:val="26"/>
        </w:rPr>
        <w:t>. Таким образом, исполнение вышеуказанных показателей по итогам 1 полугодия 2013 года подтверждает реалистичность исполнения первоначальных годовых назначений по данному налогу (1 120,9 млн рублей), которые были основаны на темпе роста фонда оплаты труда на 11,4 процента.</w:t>
      </w:r>
    </w:p>
    <w:p w:rsidR="00C75094" w:rsidRDefault="00C75094" w:rsidP="00C75094">
      <w:pPr>
        <w:spacing w:line="360" w:lineRule="auto"/>
        <w:ind w:firstLine="709"/>
        <w:jc w:val="both"/>
        <w:rPr>
          <w:sz w:val="26"/>
          <w:szCs w:val="26"/>
        </w:rPr>
      </w:pPr>
      <w:r>
        <w:rPr>
          <w:sz w:val="26"/>
          <w:szCs w:val="26"/>
        </w:rPr>
        <w:t>С большим отставанием идет исполнение годовых назначений по земельному налогу. За 1 полугодие поступило в бюджет города 244,7 млн рублей при плане 680,3 млн рублей. При увеличении объемов поступлений в сравнении с аналогичным периодом 2012 года на 10,8 млн рублей (на 4,6%), исполнение годовых назначений по данному доходному источнику за 1 полугодие 2013 года составило 36%. Учитывая, что в составе годовых назначений прогноз поступлений от физических лиц (со сроком уплаты не позднее 05.11.2013) составляет лишь 20,8 млн рублей, вызывает опасение исполнение бюджета по данному доходному источнику.</w:t>
      </w:r>
    </w:p>
    <w:p w:rsidR="00C75094" w:rsidRDefault="00C75094" w:rsidP="00C75094">
      <w:pPr>
        <w:spacing w:line="360" w:lineRule="auto"/>
        <w:ind w:firstLine="709"/>
        <w:jc w:val="both"/>
        <w:rPr>
          <w:sz w:val="26"/>
          <w:szCs w:val="26"/>
        </w:rPr>
      </w:pPr>
      <w:r w:rsidRPr="00B10917">
        <w:rPr>
          <w:sz w:val="26"/>
          <w:szCs w:val="26"/>
        </w:rPr>
        <w:t>В сравнении с аналогичным периодом 2012 года наблюдается значительное сокращение объемов поступлений</w:t>
      </w:r>
      <w:r w:rsidRPr="00AD6566">
        <w:rPr>
          <w:sz w:val="26"/>
          <w:szCs w:val="26"/>
        </w:rPr>
        <w:t xml:space="preserve"> </w:t>
      </w:r>
      <w:r w:rsidRPr="00B10917">
        <w:rPr>
          <w:sz w:val="26"/>
          <w:szCs w:val="26"/>
        </w:rPr>
        <w:t xml:space="preserve">налога на имущество физических лиц на </w:t>
      </w:r>
      <w:r>
        <w:rPr>
          <w:sz w:val="26"/>
          <w:szCs w:val="26"/>
        </w:rPr>
        <w:t xml:space="preserve">7,0 млн рублей (на 51,3%). При плановых назначениях 212,9 млн рублей, в 1 полугодии </w:t>
      </w:r>
      <w:r>
        <w:rPr>
          <w:sz w:val="26"/>
          <w:szCs w:val="26"/>
        </w:rPr>
        <w:lastRenderedPageBreak/>
        <w:t>2013 года поступило 6,7 млн рублей, или 3,1 процента. Необходимо учитывать, что срок уплаты налога на имущество физических лиц установлен 01.11.2013 года.</w:t>
      </w:r>
    </w:p>
    <w:p w:rsidR="00C75094" w:rsidRDefault="00C75094" w:rsidP="00C75094">
      <w:pPr>
        <w:spacing w:line="360" w:lineRule="auto"/>
        <w:ind w:firstLine="709"/>
        <w:jc w:val="both"/>
        <w:rPr>
          <w:sz w:val="26"/>
          <w:szCs w:val="26"/>
        </w:rPr>
      </w:pPr>
      <w:r>
        <w:rPr>
          <w:sz w:val="26"/>
          <w:szCs w:val="26"/>
        </w:rPr>
        <w:t>Доходов от продажи материальных и нематериальных активов поступило в бюджет города 137,9 млн рублей, или 15% годовых назначений.</w:t>
      </w:r>
      <w:r w:rsidRPr="00070B71">
        <w:rPr>
          <w:sz w:val="26"/>
          <w:szCs w:val="26"/>
        </w:rPr>
        <w:t xml:space="preserve"> </w:t>
      </w:r>
      <w:r w:rsidRPr="00B10917">
        <w:rPr>
          <w:sz w:val="26"/>
          <w:szCs w:val="26"/>
        </w:rPr>
        <w:t>В сравнении с аналогичным периодом 2012 года сокращение объемов поступлений</w:t>
      </w:r>
      <w:r>
        <w:rPr>
          <w:sz w:val="26"/>
          <w:szCs w:val="26"/>
        </w:rPr>
        <w:t xml:space="preserve"> составило 63,4 млн рублей (31,5%). Низкий процент исполнения по итогам 1 полугодия 2013 года наблюдается по всем составляющим данного доходного источника:</w:t>
      </w:r>
    </w:p>
    <w:p w:rsidR="00C75094" w:rsidRDefault="00C75094" w:rsidP="00C75094">
      <w:pPr>
        <w:spacing w:line="360" w:lineRule="auto"/>
        <w:ind w:firstLine="709"/>
        <w:jc w:val="both"/>
        <w:rPr>
          <w:sz w:val="26"/>
          <w:szCs w:val="26"/>
        </w:rPr>
      </w:pPr>
      <w:r>
        <w:rPr>
          <w:sz w:val="26"/>
          <w:szCs w:val="26"/>
        </w:rPr>
        <w:t>- доходов от реализации иного имущества, находящегося в собственности городских округов поступило 67,0 млн рублей, или 16,2% годовых назначений;</w:t>
      </w:r>
    </w:p>
    <w:p w:rsidR="00C75094" w:rsidRDefault="00C75094" w:rsidP="00C75094">
      <w:pPr>
        <w:spacing w:line="360" w:lineRule="auto"/>
        <w:ind w:firstLine="709"/>
        <w:jc w:val="both"/>
        <w:rPr>
          <w:sz w:val="26"/>
          <w:szCs w:val="26"/>
        </w:rPr>
      </w:pPr>
      <w:r>
        <w:rPr>
          <w:sz w:val="26"/>
          <w:szCs w:val="26"/>
        </w:rPr>
        <w:t>- доходов от продажи земельных участков, государственная собственность не разграничена и которые расположены в границах городских округов поступило 28,1 млн рублей, или 12,1% годовых назначений;</w:t>
      </w:r>
    </w:p>
    <w:p w:rsidR="00C75094" w:rsidRDefault="00C75094" w:rsidP="00C75094">
      <w:pPr>
        <w:spacing w:line="360" w:lineRule="auto"/>
        <w:ind w:firstLine="709"/>
        <w:jc w:val="both"/>
        <w:rPr>
          <w:sz w:val="26"/>
          <w:szCs w:val="26"/>
        </w:rPr>
      </w:pPr>
      <w:r>
        <w:rPr>
          <w:sz w:val="26"/>
          <w:szCs w:val="26"/>
        </w:rPr>
        <w:t>- доходов от продажи земельных участков, находящихся в собственности городских округов поступило 42,8 млн рублей, или 15,5% годовых назначений.</w:t>
      </w:r>
    </w:p>
    <w:p w:rsidR="00C75094" w:rsidRDefault="00C75094" w:rsidP="00C75094">
      <w:pPr>
        <w:spacing w:line="360" w:lineRule="auto"/>
        <w:ind w:firstLine="720"/>
        <w:jc w:val="both"/>
        <w:rPr>
          <w:sz w:val="26"/>
          <w:szCs w:val="26"/>
        </w:rPr>
      </w:pPr>
      <w:r w:rsidRPr="000B5410">
        <w:rPr>
          <w:sz w:val="26"/>
          <w:szCs w:val="26"/>
        </w:rPr>
        <w:t xml:space="preserve">Контрольно-счетная палата </w:t>
      </w:r>
      <w:r>
        <w:rPr>
          <w:sz w:val="26"/>
          <w:szCs w:val="26"/>
        </w:rPr>
        <w:t xml:space="preserve">неоднократно </w:t>
      </w:r>
      <w:r w:rsidRPr="000B5410">
        <w:rPr>
          <w:sz w:val="26"/>
          <w:szCs w:val="26"/>
        </w:rPr>
        <w:t xml:space="preserve">отмечала не реалистичность утвержденных в решении о бюджете годовых назначений </w:t>
      </w:r>
      <w:r>
        <w:rPr>
          <w:sz w:val="26"/>
          <w:szCs w:val="26"/>
        </w:rPr>
        <w:t xml:space="preserve">по данному доходному источнику, в том числе и </w:t>
      </w:r>
      <w:r w:rsidRPr="000B5410">
        <w:rPr>
          <w:sz w:val="26"/>
          <w:szCs w:val="26"/>
        </w:rPr>
        <w:t xml:space="preserve">в связи с включением в состав доходов поступлений от продажи объектов муниципальной собственности не учтенных в Прогнозном плане приватизации. </w:t>
      </w:r>
    </w:p>
    <w:p w:rsidR="00C75094" w:rsidRPr="00B10917" w:rsidRDefault="00C75094" w:rsidP="00C75094">
      <w:pPr>
        <w:spacing w:line="360" w:lineRule="auto"/>
        <w:ind w:firstLine="720"/>
        <w:jc w:val="both"/>
        <w:rPr>
          <w:sz w:val="26"/>
          <w:szCs w:val="26"/>
        </w:rPr>
      </w:pPr>
      <w:r>
        <w:rPr>
          <w:sz w:val="26"/>
          <w:szCs w:val="26"/>
        </w:rPr>
        <w:t>Вместе с тем,</w:t>
      </w:r>
      <w:r w:rsidRPr="00B10917">
        <w:rPr>
          <w:sz w:val="26"/>
          <w:szCs w:val="26"/>
        </w:rPr>
        <w:t xml:space="preserve"> по итогам 1 полугодия по 4 доходным источникам плановые годовые назначения перевыполнены: по налогу, взимаемому в связи с применением патентной системы налогообложения, объем поступлений составил 2,1 млн рублей (172,6% годовых назначений), по единому сельскохозяйственному налогу – 0,4 млн рублей (209,7% годовых назначений), по прочим неналоговым доходам - 1,8 млн рублей (125,6% годовых назначений), по доходам от оказания платных услуг и компенсации затрат государства - 3,0 млн руб</w:t>
      </w:r>
      <w:r>
        <w:rPr>
          <w:sz w:val="26"/>
          <w:szCs w:val="26"/>
        </w:rPr>
        <w:t>лей (117,7% годовых назначений)</w:t>
      </w:r>
      <w:r w:rsidRPr="00B10917">
        <w:rPr>
          <w:sz w:val="26"/>
          <w:szCs w:val="26"/>
        </w:rPr>
        <w:t>.</w:t>
      </w:r>
    </w:p>
    <w:p w:rsidR="00C75094" w:rsidRPr="00B10917" w:rsidRDefault="00C75094" w:rsidP="00C75094">
      <w:pPr>
        <w:spacing w:line="360" w:lineRule="auto"/>
        <w:ind w:firstLine="709"/>
        <w:jc w:val="both"/>
        <w:rPr>
          <w:sz w:val="26"/>
          <w:szCs w:val="26"/>
        </w:rPr>
      </w:pPr>
      <w:r w:rsidRPr="00B10917">
        <w:rPr>
          <w:sz w:val="26"/>
          <w:szCs w:val="26"/>
        </w:rPr>
        <w:t>Удельный вес</w:t>
      </w:r>
      <w:r w:rsidRPr="00B10917">
        <w:rPr>
          <w:i/>
          <w:sz w:val="26"/>
          <w:szCs w:val="26"/>
        </w:rPr>
        <w:t xml:space="preserve"> </w:t>
      </w:r>
      <w:r w:rsidRPr="00B10917">
        <w:rPr>
          <w:b/>
          <w:i/>
          <w:sz w:val="26"/>
          <w:szCs w:val="26"/>
        </w:rPr>
        <w:t>безвозмездных поступлений</w:t>
      </w:r>
      <w:r w:rsidRPr="00B10917">
        <w:rPr>
          <w:i/>
          <w:sz w:val="26"/>
          <w:szCs w:val="26"/>
        </w:rPr>
        <w:t xml:space="preserve"> </w:t>
      </w:r>
      <w:r w:rsidRPr="00B10917">
        <w:rPr>
          <w:sz w:val="26"/>
          <w:szCs w:val="26"/>
        </w:rPr>
        <w:t xml:space="preserve">в доходах бюджета города увеличился с 46,5% в </w:t>
      </w:r>
      <w:r w:rsidRPr="00B10917">
        <w:rPr>
          <w:sz w:val="26"/>
          <w:szCs w:val="26"/>
          <w:lang w:val="en-US"/>
        </w:rPr>
        <w:t>I</w:t>
      </w:r>
      <w:r w:rsidRPr="00B10917">
        <w:rPr>
          <w:sz w:val="26"/>
          <w:szCs w:val="26"/>
        </w:rPr>
        <w:t xml:space="preserve"> полугодии 2012 года до 55,3% в отчетном периоде. За 1 полугодие 2013 поступило безвозмездных поступлений </w:t>
      </w:r>
      <w:r w:rsidRPr="00B10917">
        <w:rPr>
          <w:b/>
          <w:i/>
          <w:sz w:val="26"/>
          <w:szCs w:val="26"/>
        </w:rPr>
        <w:t>1734,0</w:t>
      </w:r>
      <w:r w:rsidRPr="00B10917">
        <w:rPr>
          <w:sz w:val="26"/>
          <w:szCs w:val="26"/>
        </w:rPr>
        <w:t xml:space="preserve"> млн рублей, или</w:t>
      </w:r>
      <w:r w:rsidRPr="00B10917">
        <w:rPr>
          <w:b/>
          <w:i/>
          <w:sz w:val="26"/>
          <w:szCs w:val="26"/>
        </w:rPr>
        <w:t xml:space="preserve"> 47,8% </w:t>
      </w:r>
      <w:r w:rsidRPr="00B10917">
        <w:rPr>
          <w:sz w:val="26"/>
          <w:szCs w:val="26"/>
        </w:rPr>
        <w:t xml:space="preserve">к годовым бюджетным назначениям. </w:t>
      </w:r>
      <w:r>
        <w:rPr>
          <w:sz w:val="26"/>
          <w:szCs w:val="26"/>
        </w:rPr>
        <w:t xml:space="preserve">В сравнении с аналогичным периодом </w:t>
      </w:r>
      <w:r>
        <w:rPr>
          <w:sz w:val="26"/>
          <w:szCs w:val="26"/>
        </w:rPr>
        <w:lastRenderedPageBreak/>
        <w:t>2012 года объем безвозмездных поступлений увеличился на 504,4 млн рублей, или 41 процент.</w:t>
      </w:r>
    </w:p>
    <w:p w:rsidR="00C75094" w:rsidRPr="00B10917" w:rsidRDefault="00C75094" w:rsidP="00C75094">
      <w:pPr>
        <w:spacing w:line="360" w:lineRule="auto"/>
        <w:ind w:firstLine="709"/>
        <w:jc w:val="both"/>
        <w:rPr>
          <w:sz w:val="26"/>
          <w:szCs w:val="26"/>
        </w:rPr>
      </w:pPr>
      <w:r w:rsidRPr="00B10917">
        <w:rPr>
          <w:b/>
          <w:i/>
          <w:sz w:val="26"/>
          <w:szCs w:val="26"/>
        </w:rPr>
        <w:t>Расходы</w:t>
      </w:r>
      <w:r w:rsidRPr="00B10917">
        <w:rPr>
          <w:sz w:val="26"/>
          <w:szCs w:val="26"/>
        </w:rPr>
        <w:t xml:space="preserve"> бюджета города исполнены в сумме </w:t>
      </w:r>
      <w:r w:rsidRPr="00B10917">
        <w:rPr>
          <w:b/>
          <w:i/>
          <w:sz w:val="26"/>
          <w:szCs w:val="26"/>
        </w:rPr>
        <w:t>4041,8</w:t>
      </w:r>
      <w:r w:rsidRPr="00B10917">
        <w:rPr>
          <w:sz w:val="26"/>
          <w:szCs w:val="26"/>
        </w:rPr>
        <w:t xml:space="preserve"> </w:t>
      </w:r>
      <w:r w:rsidRPr="00B10917">
        <w:rPr>
          <w:b/>
          <w:i/>
          <w:sz w:val="26"/>
          <w:szCs w:val="26"/>
        </w:rPr>
        <w:t xml:space="preserve"> </w:t>
      </w:r>
      <w:r w:rsidRPr="00B10917">
        <w:rPr>
          <w:sz w:val="26"/>
          <w:szCs w:val="26"/>
        </w:rPr>
        <w:t>млн</w:t>
      </w:r>
      <w:r w:rsidRPr="00B10917">
        <w:rPr>
          <w:b/>
          <w:i/>
          <w:sz w:val="26"/>
          <w:szCs w:val="26"/>
        </w:rPr>
        <w:t xml:space="preserve"> </w:t>
      </w:r>
      <w:r w:rsidRPr="00B10917">
        <w:rPr>
          <w:sz w:val="26"/>
          <w:szCs w:val="26"/>
        </w:rPr>
        <w:t xml:space="preserve">рублей, что составляет </w:t>
      </w:r>
      <w:r w:rsidRPr="00B10917">
        <w:rPr>
          <w:b/>
          <w:i/>
          <w:sz w:val="26"/>
          <w:szCs w:val="26"/>
        </w:rPr>
        <w:t>41,8%</w:t>
      </w:r>
      <w:r w:rsidRPr="00B10917">
        <w:rPr>
          <w:sz w:val="26"/>
          <w:szCs w:val="26"/>
        </w:rPr>
        <w:t xml:space="preserve"> к уточненным назначениям и 61,4% к первоначально утвержденному бюджету (для сравнения 1 полугодие 2012 года – 2582,0 млн рублей, соответственно 40,8% и 43,6%). За счет безвозмездных поступлений из бюджетов других уровней в 1 полугодии 2013 года израсходовано 1690,0 млн рублей, или 41,8% общего объема кассовых расходов (в 1 полугодии 2012 года – 975,2 млн рублей, или 37,8%). За отчетный период 2013 года по сравнению с </w:t>
      </w:r>
      <w:r w:rsidRPr="00B10917">
        <w:rPr>
          <w:sz w:val="26"/>
          <w:szCs w:val="26"/>
          <w:lang w:val="en-US"/>
        </w:rPr>
        <w:t>I</w:t>
      </w:r>
      <w:r w:rsidRPr="00B10917">
        <w:rPr>
          <w:sz w:val="26"/>
          <w:szCs w:val="26"/>
        </w:rPr>
        <w:t xml:space="preserve"> полугодием 2012 года расходы больше на 1459,8 млн рублей, или в 1,6 раза, из них за счет безвозмездных поступлений на 714,8 млн рублей.</w:t>
      </w:r>
    </w:p>
    <w:p w:rsidR="00C75094" w:rsidRPr="00B10917" w:rsidRDefault="00C75094" w:rsidP="00C75094">
      <w:pPr>
        <w:spacing w:line="360" w:lineRule="auto"/>
        <w:ind w:firstLine="709"/>
        <w:jc w:val="both"/>
        <w:rPr>
          <w:sz w:val="26"/>
          <w:szCs w:val="26"/>
        </w:rPr>
      </w:pPr>
      <w:r w:rsidRPr="00B10917">
        <w:rPr>
          <w:sz w:val="26"/>
          <w:szCs w:val="26"/>
        </w:rPr>
        <w:t xml:space="preserve"> Исполнение бюджетных назначений главными распорядителями производилось в основном равномерно. </w:t>
      </w:r>
      <w:r>
        <w:rPr>
          <w:sz w:val="26"/>
          <w:szCs w:val="26"/>
        </w:rPr>
        <w:t xml:space="preserve">Наименьший процент исполнения бюджетных назначений сложился у </w:t>
      </w:r>
      <w:r w:rsidRPr="00B10917">
        <w:rPr>
          <w:sz w:val="26"/>
          <w:szCs w:val="26"/>
        </w:rPr>
        <w:t>Департамент</w:t>
      </w:r>
      <w:r>
        <w:rPr>
          <w:sz w:val="26"/>
          <w:szCs w:val="26"/>
        </w:rPr>
        <w:t>а</w:t>
      </w:r>
      <w:r w:rsidRPr="00B10917">
        <w:rPr>
          <w:sz w:val="26"/>
          <w:szCs w:val="26"/>
        </w:rPr>
        <w:t xml:space="preserve"> градостроительства и инфраструктуры Администрации города (44,0%) и Администраци</w:t>
      </w:r>
      <w:r>
        <w:rPr>
          <w:sz w:val="26"/>
          <w:szCs w:val="26"/>
        </w:rPr>
        <w:t>и</w:t>
      </w:r>
      <w:r w:rsidRPr="00B10917">
        <w:rPr>
          <w:sz w:val="26"/>
          <w:szCs w:val="26"/>
        </w:rPr>
        <w:t xml:space="preserve"> города (45,5%).</w:t>
      </w:r>
    </w:p>
    <w:p w:rsidR="00C75094" w:rsidRPr="00B10917" w:rsidRDefault="00C75094" w:rsidP="00C75094">
      <w:pPr>
        <w:spacing w:line="360" w:lineRule="auto"/>
        <w:ind w:firstLine="709"/>
        <w:jc w:val="both"/>
        <w:rPr>
          <w:sz w:val="26"/>
          <w:szCs w:val="26"/>
        </w:rPr>
      </w:pPr>
      <w:r w:rsidRPr="00B10917">
        <w:rPr>
          <w:sz w:val="26"/>
          <w:szCs w:val="26"/>
        </w:rPr>
        <w:t>В разрезе разделов классификации расходов наиболее высокий процент исполнения сложился по разделу 1100 «Физическая культура и спорт» (70,0%), наиболее низкий - по разделам 0600 «Охрана окружающей среды» (17,2%) и 0500 «Жилищно-коммунальное хозяйство» (20,4%).</w:t>
      </w:r>
    </w:p>
    <w:p w:rsidR="00C75094" w:rsidRPr="00B10917" w:rsidRDefault="00C75094" w:rsidP="00C75094">
      <w:pPr>
        <w:spacing w:line="360" w:lineRule="auto"/>
        <w:ind w:firstLine="709"/>
        <w:jc w:val="both"/>
        <w:rPr>
          <w:sz w:val="26"/>
          <w:szCs w:val="26"/>
        </w:rPr>
      </w:pPr>
      <w:r w:rsidRPr="00B10917">
        <w:rPr>
          <w:sz w:val="26"/>
          <w:szCs w:val="26"/>
        </w:rPr>
        <w:t>По разделу 1100 «Физическая культура и спорт» кассовые расходы за 1 полугодие составили 252,0 млн рублей, в том числе по подразделу 1102 «Массовый спорт» израсходовано 230,5 млн рублей, или 74,3% годовых назначений, из них за счет средств областного бюджета 51,4 млн рублей. Бюджетные ассигнования по данному подразделу в течение года увеличены на 43,4 млн рублей (16,2%), из них 34,0 млн рублей предусмотрены на капитальный ремонт плавательного бассейна по ул. Предтеченской, д. 57а. В 1 полугодии средства направлены на реализацию инвестиционных проектов по реконструкции стадиона «Локомотив» 28,6 млн рублей (95,3% годовых назначений), строительству спортивного комплекса с ледовой площадкой на ул. Пугачева 54,1 млн рублей (78,7%), спортивного комплекса единоборств 42,2 млн рублей (100%); профинансированы субсидии на иные цели автономным учреждениям 52,1 млн рублей (68,8%), взнос в уставный капитал МУП «СКК «Спектр» 29,8 млн рублей (97,4%).</w:t>
      </w:r>
    </w:p>
    <w:p w:rsidR="00C75094" w:rsidRPr="00B10917" w:rsidRDefault="00C75094" w:rsidP="00C75094">
      <w:pPr>
        <w:spacing w:line="360" w:lineRule="auto"/>
        <w:ind w:firstLine="709"/>
        <w:jc w:val="both"/>
        <w:rPr>
          <w:sz w:val="26"/>
          <w:szCs w:val="26"/>
        </w:rPr>
      </w:pPr>
      <w:r w:rsidRPr="00B10917">
        <w:rPr>
          <w:sz w:val="26"/>
          <w:szCs w:val="26"/>
        </w:rPr>
        <w:lastRenderedPageBreak/>
        <w:t>Низкий процент исполнения по разделу 0500 «Жилищно-коммунальное хозяйство» в основном связан с особенностями планирования бюджетных ассигнований. В течение года бюджетные ассигнования по данному разделу увеличены на 500,2 млн рублей, в 2,2 раза (в том числе за счет безвозмездных поступлений на 336,5 млн рублей), из них решением Вологодской городской Думы от 27.06.2013 №1705 - на 439,5 млн рублей (в том числе за счет безвозмездных поступлений на 328,6 млн рублей). Без учета июньских поправок исполнение составит 39 процентов.</w:t>
      </w:r>
    </w:p>
    <w:p w:rsidR="00C75094" w:rsidRPr="00B10917" w:rsidRDefault="00C75094" w:rsidP="00C75094">
      <w:pPr>
        <w:autoSpaceDE w:val="0"/>
        <w:autoSpaceDN w:val="0"/>
        <w:adjustRightInd w:val="0"/>
        <w:spacing w:line="360" w:lineRule="auto"/>
        <w:ind w:firstLine="540"/>
        <w:jc w:val="both"/>
        <w:rPr>
          <w:rFonts w:eastAsiaTheme="minorHAnsi"/>
          <w:sz w:val="26"/>
          <w:szCs w:val="26"/>
          <w:lang w:eastAsia="en-US"/>
        </w:rPr>
      </w:pPr>
      <w:r w:rsidRPr="00B10917">
        <w:rPr>
          <w:sz w:val="26"/>
          <w:szCs w:val="26"/>
        </w:rPr>
        <w:t xml:space="preserve">На реализацию </w:t>
      </w:r>
      <w:r w:rsidRPr="00B10917">
        <w:rPr>
          <w:i/>
          <w:sz w:val="26"/>
          <w:szCs w:val="26"/>
        </w:rPr>
        <w:t>муниципальных</w:t>
      </w:r>
      <w:r w:rsidRPr="00B10917">
        <w:rPr>
          <w:sz w:val="26"/>
          <w:szCs w:val="26"/>
        </w:rPr>
        <w:t xml:space="preserve"> </w:t>
      </w:r>
      <w:r w:rsidRPr="00B10917">
        <w:rPr>
          <w:i/>
          <w:sz w:val="26"/>
          <w:szCs w:val="26"/>
        </w:rPr>
        <w:t>целевых программ</w:t>
      </w:r>
      <w:r w:rsidRPr="00B10917">
        <w:rPr>
          <w:sz w:val="26"/>
          <w:szCs w:val="26"/>
        </w:rPr>
        <w:t xml:space="preserve"> (без учета долгосрочной программы капитальных вложений) направлено 1028,8 млн рублей, или 45,8% к годовым назначениям. Из 27 программ, реализуемых в 2013 году, меньше 10 % годовых назначений (от 1,1% до 5,1%) профинансированы расходы по 3 программам, от 10% до 30% - по 7 программам, от 30% до 50% - по 5 программам,  свыше 50% (от 56% до 90,4%) - по 7 программам, 1 программа профинансирована в полном объеме. Не производилось финансирование мероприятий 4 программ с объемом утвержденных ассигнований 457,1 млн рублей, что составляет 20,4% общего объема утвержденных назначений на реализацию муниципальных целевых программ (без учета долгосрочной программы капитальных вложений): «Социальное развитие села Молочное на 2009-2015 годы» (1,6 млн рублей), «Строительство жилья для переселения граждан из аварийного жилищного фонда, расположенного на территории муниципального образования «Город Вологда», создание маневренного жилищного фонда на территории муниципального образования «Город Вологда», на 2010-2017 годы» (30,0 млн рублей), долгосрочные адресные </w:t>
      </w:r>
      <w:hyperlink r:id="rId7" w:history="1">
        <w:r w:rsidRPr="00B10917">
          <w:rPr>
            <w:rFonts w:eastAsiaTheme="minorHAnsi"/>
            <w:sz w:val="26"/>
            <w:szCs w:val="26"/>
            <w:lang w:eastAsia="en-US"/>
          </w:rPr>
          <w:t>программы  №4</w:t>
        </w:r>
      </w:hyperlink>
      <w:r w:rsidRPr="00B10917">
        <w:rPr>
          <w:rFonts w:eastAsiaTheme="minorHAnsi"/>
          <w:sz w:val="26"/>
          <w:szCs w:val="26"/>
          <w:lang w:eastAsia="en-US"/>
        </w:rPr>
        <w:t xml:space="preserve">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2013 - 2015 годы (268,6 млн рублей) и по проведению капитального ремонта многоквартирных домов, расположенных на территории муниципального образования «Город Вологда», на 2013 год (156,9 млн рублей). </w:t>
      </w:r>
      <w:r w:rsidRPr="00B10917">
        <w:rPr>
          <w:sz w:val="26"/>
          <w:szCs w:val="26"/>
        </w:rPr>
        <w:t>По двум последним</w:t>
      </w:r>
      <w:r w:rsidRPr="00B10917">
        <w:rPr>
          <w:rFonts w:eastAsiaTheme="minorHAnsi"/>
          <w:sz w:val="26"/>
          <w:szCs w:val="26"/>
          <w:lang w:eastAsia="en-US"/>
        </w:rPr>
        <w:t xml:space="preserve"> </w:t>
      </w:r>
      <w:hyperlink r:id="rId8" w:history="1">
        <w:r w:rsidRPr="00B10917">
          <w:rPr>
            <w:rFonts w:eastAsiaTheme="minorHAnsi"/>
            <w:sz w:val="26"/>
            <w:szCs w:val="26"/>
            <w:lang w:eastAsia="en-US"/>
          </w:rPr>
          <w:t xml:space="preserve">программам расходы предусмотрены в бюджете в июне 2013 года в сумме 425,5 млн рублей, в том числе за счет безвозмездных поступлений из бюджетов других уровней в сумме 302,5 млн рублей, а сами программы </w:t>
        </w:r>
        <w:r w:rsidRPr="00B10917">
          <w:rPr>
            <w:rFonts w:eastAsiaTheme="minorHAnsi"/>
            <w:sz w:val="26"/>
            <w:szCs w:val="26"/>
            <w:lang w:eastAsia="en-US"/>
          </w:rPr>
          <w:lastRenderedPageBreak/>
          <w:t xml:space="preserve">утверждены в мае-июне 2013 года (постановления Администрации города от 22.05.2013 №4105 и от 24.06.2013 №5022). </w:t>
        </w:r>
      </w:hyperlink>
    </w:p>
    <w:p w:rsidR="00C75094" w:rsidRPr="00B10917" w:rsidRDefault="00C75094" w:rsidP="00C75094">
      <w:pPr>
        <w:spacing w:line="360" w:lineRule="auto"/>
        <w:ind w:firstLine="709"/>
        <w:jc w:val="both"/>
        <w:rPr>
          <w:sz w:val="26"/>
          <w:szCs w:val="26"/>
        </w:rPr>
      </w:pPr>
      <w:r w:rsidRPr="00B10917">
        <w:rPr>
          <w:sz w:val="26"/>
          <w:szCs w:val="26"/>
        </w:rPr>
        <w:t xml:space="preserve">На финансирование </w:t>
      </w:r>
      <w:r w:rsidRPr="00B10917">
        <w:rPr>
          <w:i/>
          <w:sz w:val="26"/>
          <w:szCs w:val="26"/>
        </w:rPr>
        <w:t>долгосрочной программы капитальных вложений</w:t>
      </w:r>
      <w:r w:rsidRPr="00B10917">
        <w:rPr>
          <w:sz w:val="26"/>
          <w:szCs w:val="26"/>
        </w:rPr>
        <w:t xml:space="preserve"> направлено 124,9 млн рублей (60,6%), из них 87,0 млн рублей, или почти 70% на погашение кредиторской задолженности, имевшейся на 01.01.2013. Не начато финансирование 4 из 8 инвестиционных проектов на общую сумму 65,2 млн рублей: строительство нового муниципального кладбища вблизи д. Козицино (предусмотрено в бюджете 19,9 млн рублей), создание туристско-рекреационного кластера «Насон-город» (10,0 млн рублей), развитие сети образовательных учреждений (30,4 млн рублей), реконструкция незавершенного строительством объекта под здание Центра современных искусств (4,9 млн рублей).</w:t>
      </w:r>
    </w:p>
    <w:p w:rsidR="00C75094" w:rsidRPr="00B10917" w:rsidRDefault="00C75094" w:rsidP="00C75094">
      <w:pPr>
        <w:spacing w:line="360" w:lineRule="auto"/>
        <w:ind w:firstLine="709"/>
        <w:jc w:val="both"/>
        <w:rPr>
          <w:sz w:val="26"/>
          <w:szCs w:val="26"/>
        </w:rPr>
      </w:pPr>
      <w:r w:rsidRPr="00B10917">
        <w:rPr>
          <w:b/>
          <w:i/>
          <w:sz w:val="26"/>
          <w:szCs w:val="26"/>
        </w:rPr>
        <w:t>Дефицит</w:t>
      </w:r>
      <w:r w:rsidRPr="00B10917">
        <w:rPr>
          <w:i/>
          <w:sz w:val="26"/>
          <w:szCs w:val="26"/>
        </w:rPr>
        <w:t xml:space="preserve"> </w:t>
      </w:r>
      <w:r w:rsidRPr="00B10917">
        <w:rPr>
          <w:sz w:val="26"/>
          <w:szCs w:val="26"/>
        </w:rPr>
        <w:t>бюджета города по итогам 1 полугодия 2013 года составил 904,4 млн рублей</w:t>
      </w:r>
      <w:r>
        <w:rPr>
          <w:sz w:val="26"/>
          <w:szCs w:val="26"/>
        </w:rPr>
        <w:t>, что составляет 22,1 % от утвержденного годового объема собственных доходов,</w:t>
      </w:r>
      <w:r w:rsidRPr="00B10917">
        <w:rPr>
          <w:sz w:val="26"/>
          <w:szCs w:val="26"/>
        </w:rPr>
        <w:t xml:space="preserve"> при утвержденных годовых назначениях </w:t>
      </w:r>
      <w:r>
        <w:rPr>
          <w:sz w:val="26"/>
          <w:szCs w:val="26"/>
        </w:rPr>
        <w:t xml:space="preserve">дефицита </w:t>
      </w:r>
      <w:r w:rsidRPr="00B10917">
        <w:rPr>
          <w:sz w:val="26"/>
          <w:szCs w:val="26"/>
        </w:rPr>
        <w:t>6</w:t>
      </w:r>
      <w:r>
        <w:rPr>
          <w:sz w:val="26"/>
          <w:szCs w:val="26"/>
        </w:rPr>
        <w:t xml:space="preserve">72,2 млн рублей, или 16,4% собственных доходов бюджета. </w:t>
      </w:r>
      <w:r w:rsidRPr="00B10917">
        <w:rPr>
          <w:sz w:val="26"/>
          <w:szCs w:val="26"/>
        </w:rPr>
        <w:t>Следует отметить</w:t>
      </w:r>
      <w:r>
        <w:rPr>
          <w:sz w:val="26"/>
          <w:szCs w:val="26"/>
        </w:rPr>
        <w:t>,</w:t>
      </w:r>
      <w:r w:rsidRPr="00B10917">
        <w:rPr>
          <w:sz w:val="26"/>
          <w:szCs w:val="26"/>
        </w:rPr>
        <w:t xml:space="preserve"> </w:t>
      </w:r>
      <w:r>
        <w:rPr>
          <w:sz w:val="26"/>
          <w:szCs w:val="26"/>
        </w:rPr>
        <w:t xml:space="preserve">что </w:t>
      </w:r>
      <w:r w:rsidRPr="00B10917">
        <w:rPr>
          <w:sz w:val="26"/>
          <w:szCs w:val="26"/>
        </w:rPr>
        <w:t xml:space="preserve">по итогам 1 квартала 2013 года превышение </w:t>
      </w:r>
      <w:r>
        <w:rPr>
          <w:sz w:val="26"/>
          <w:szCs w:val="26"/>
        </w:rPr>
        <w:t xml:space="preserve">годовых назначений </w:t>
      </w:r>
      <w:r w:rsidRPr="00B10917">
        <w:rPr>
          <w:sz w:val="26"/>
          <w:szCs w:val="26"/>
        </w:rPr>
        <w:t>составило</w:t>
      </w:r>
      <w:r>
        <w:rPr>
          <w:sz w:val="26"/>
          <w:szCs w:val="26"/>
        </w:rPr>
        <w:t xml:space="preserve"> 21,4 млн рублей (</w:t>
      </w:r>
      <w:r w:rsidRPr="00B10917">
        <w:rPr>
          <w:sz w:val="26"/>
          <w:szCs w:val="26"/>
        </w:rPr>
        <w:t>5,5%</w:t>
      </w:r>
      <w:r>
        <w:rPr>
          <w:sz w:val="26"/>
          <w:szCs w:val="26"/>
        </w:rPr>
        <w:t>)</w:t>
      </w:r>
      <w:r w:rsidRPr="00B10917">
        <w:rPr>
          <w:sz w:val="26"/>
          <w:szCs w:val="26"/>
        </w:rPr>
        <w:t xml:space="preserve">, по итогам 1 полугодия данный показатель достиг </w:t>
      </w:r>
      <w:r>
        <w:rPr>
          <w:sz w:val="26"/>
          <w:szCs w:val="26"/>
        </w:rPr>
        <w:t>232,3 млн рублей (</w:t>
      </w:r>
      <w:r w:rsidRPr="00B10917">
        <w:rPr>
          <w:sz w:val="26"/>
          <w:szCs w:val="26"/>
        </w:rPr>
        <w:t xml:space="preserve">34,6 </w:t>
      </w:r>
      <w:r>
        <w:rPr>
          <w:sz w:val="26"/>
          <w:szCs w:val="26"/>
        </w:rPr>
        <w:t>%)</w:t>
      </w:r>
      <w:r w:rsidRPr="00B10917">
        <w:rPr>
          <w:sz w:val="26"/>
          <w:szCs w:val="26"/>
        </w:rPr>
        <w:t>.</w:t>
      </w:r>
    </w:p>
    <w:p w:rsidR="00C75094" w:rsidRDefault="00C75094" w:rsidP="00C75094">
      <w:pPr>
        <w:spacing w:line="360" w:lineRule="auto"/>
        <w:ind w:firstLine="709"/>
        <w:jc w:val="both"/>
        <w:rPr>
          <w:rFonts w:eastAsiaTheme="minorHAnsi"/>
          <w:sz w:val="26"/>
          <w:szCs w:val="26"/>
          <w:lang w:eastAsia="en-US"/>
        </w:rPr>
      </w:pPr>
      <w:r>
        <w:rPr>
          <w:sz w:val="26"/>
          <w:szCs w:val="26"/>
        </w:rPr>
        <w:t>Пунктом 3 с</w:t>
      </w:r>
      <w:r w:rsidRPr="00B10917">
        <w:rPr>
          <w:sz w:val="26"/>
          <w:szCs w:val="26"/>
        </w:rPr>
        <w:t>тать</w:t>
      </w:r>
      <w:r>
        <w:rPr>
          <w:sz w:val="26"/>
          <w:szCs w:val="26"/>
        </w:rPr>
        <w:t>и</w:t>
      </w:r>
      <w:r w:rsidRPr="00B10917">
        <w:rPr>
          <w:sz w:val="26"/>
          <w:szCs w:val="26"/>
        </w:rPr>
        <w:t xml:space="preserve"> 92.1 Бюджетного кодекса РФ установлен предельный объем дефицита местного бюджета </w:t>
      </w:r>
      <w:r>
        <w:rPr>
          <w:sz w:val="26"/>
          <w:szCs w:val="26"/>
        </w:rPr>
        <w:t>в размере</w:t>
      </w:r>
      <w:r w:rsidRPr="00B10917">
        <w:rPr>
          <w:sz w:val="26"/>
          <w:szCs w:val="26"/>
        </w:rPr>
        <w:t xml:space="preserve"> 10% утвержденного годового объема доходов местного бюджета без учета объема безвозмездных поступлений и (или) поступлений налоговых доходов по допол</w:t>
      </w:r>
      <w:r>
        <w:rPr>
          <w:sz w:val="26"/>
          <w:szCs w:val="26"/>
        </w:rPr>
        <w:t xml:space="preserve">нительным нормативам отчислений, превышение которого возможно в случае утверждения в составе </w:t>
      </w:r>
      <w:r>
        <w:rPr>
          <w:rFonts w:eastAsiaTheme="minorHAnsi"/>
          <w:sz w:val="26"/>
          <w:szCs w:val="26"/>
          <w:lang w:eastAsia="en-US"/>
        </w:rPr>
        <w:t>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w:t>
      </w:r>
    </w:p>
    <w:p w:rsidR="00C75094" w:rsidRDefault="00C75094" w:rsidP="00C75094">
      <w:pPr>
        <w:spacing w:line="360" w:lineRule="auto"/>
        <w:ind w:firstLine="709"/>
        <w:jc w:val="both"/>
        <w:rPr>
          <w:rFonts w:eastAsiaTheme="minorHAnsi"/>
          <w:sz w:val="26"/>
          <w:szCs w:val="26"/>
          <w:lang w:eastAsia="en-US"/>
        </w:rPr>
      </w:pPr>
      <w:r>
        <w:rPr>
          <w:rFonts w:eastAsiaTheme="minorHAnsi"/>
          <w:sz w:val="26"/>
          <w:szCs w:val="26"/>
          <w:lang w:eastAsia="en-US"/>
        </w:rPr>
        <w:t>Превышение установленного предельного ограничения дефицита бюджета по итогам 1 полугодия 2013 года сложилось в сумме 495,0 млн рублей, что 132,6 млн рублей, или 36,6% больше запланированных в решении о бюджете в составе источников финансирования дефицита бюджета поступлений от продажи акций</w:t>
      </w:r>
      <w:r w:rsidRPr="00423C14">
        <w:rPr>
          <w:rFonts w:eastAsiaTheme="minorHAnsi"/>
          <w:sz w:val="26"/>
          <w:szCs w:val="26"/>
          <w:lang w:eastAsia="en-US"/>
        </w:rPr>
        <w:t xml:space="preserve"> </w:t>
      </w:r>
      <w:r>
        <w:rPr>
          <w:rFonts w:eastAsiaTheme="minorHAnsi"/>
          <w:sz w:val="26"/>
          <w:szCs w:val="26"/>
          <w:lang w:eastAsia="en-US"/>
        </w:rPr>
        <w:t xml:space="preserve">и иных форм участия в капитале, находящихся в собственности муниципального </w:t>
      </w:r>
      <w:r>
        <w:rPr>
          <w:rFonts w:eastAsiaTheme="minorHAnsi"/>
          <w:sz w:val="26"/>
          <w:szCs w:val="26"/>
          <w:lang w:eastAsia="en-US"/>
        </w:rPr>
        <w:lastRenderedPageBreak/>
        <w:t xml:space="preserve">образования, и снижения остатков средств на счетах по учету средств местного бюджета. </w:t>
      </w:r>
    </w:p>
    <w:p w:rsidR="00C75094" w:rsidRPr="00B10917" w:rsidRDefault="00C75094" w:rsidP="00C75094">
      <w:pPr>
        <w:spacing w:line="360" w:lineRule="auto"/>
        <w:jc w:val="both"/>
        <w:rPr>
          <w:sz w:val="26"/>
          <w:szCs w:val="26"/>
        </w:rPr>
      </w:pPr>
      <w:r w:rsidRPr="00B10917">
        <w:rPr>
          <w:sz w:val="26"/>
          <w:szCs w:val="26"/>
        </w:rPr>
        <w:t xml:space="preserve">         Динамика поступления собственных доходов  (34,3% годовых назначений), сформировавшийся дефицит бюджета</w:t>
      </w:r>
      <w:r w:rsidRPr="00B10917">
        <w:rPr>
          <w:color w:val="FF0000"/>
          <w:sz w:val="26"/>
          <w:szCs w:val="26"/>
        </w:rPr>
        <w:t xml:space="preserve"> </w:t>
      </w:r>
      <w:r w:rsidRPr="00B10917">
        <w:rPr>
          <w:sz w:val="26"/>
          <w:szCs w:val="26"/>
        </w:rPr>
        <w:t>(64,4% объема поступлений собственных доходов по итогам 1 полугодия 2013 года) вызывает определенную обеспокоенность по поводу сбалансированности бюджета города, а также соблюдения принципа достоверности бюджета, установленного статьей 37 Бюджетного кодекса РФ.</w:t>
      </w:r>
    </w:p>
    <w:p w:rsidR="00C75094" w:rsidRPr="00B10917" w:rsidRDefault="00C75094" w:rsidP="00C75094">
      <w:pPr>
        <w:spacing w:line="360" w:lineRule="auto"/>
        <w:jc w:val="both"/>
        <w:rPr>
          <w:sz w:val="26"/>
          <w:szCs w:val="26"/>
        </w:rPr>
      </w:pPr>
      <w:r w:rsidRPr="00B10917">
        <w:rPr>
          <w:sz w:val="26"/>
          <w:szCs w:val="26"/>
        </w:rPr>
        <w:t xml:space="preserve">         Следует отметить, что превышение по данным годового отчета об исполнении бюджета ограничений, установленных статьей 92.1 Бюджетного кодекса РФ, является нарушением бюджетного законодательства РФ и влечет применение мер принуждения. </w:t>
      </w:r>
    </w:p>
    <w:p w:rsidR="00C75094" w:rsidRPr="00B10917" w:rsidRDefault="00C75094" w:rsidP="00C75094">
      <w:pPr>
        <w:spacing w:line="360" w:lineRule="auto"/>
        <w:ind w:firstLine="709"/>
        <w:jc w:val="both"/>
        <w:rPr>
          <w:sz w:val="26"/>
          <w:szCs w:val="26"/>
        </w:rPr>
      </w:pPr>
      <w:r w:rsidRPr="00B10917">
        <w:rPr>
          <w:sz w:val="26"/>
          <w:szCs w:val="26"/>
        </w:rPr>
        <w:t xml:space="preserve">В качестве </w:t>
      </w:r>
      <w:r w:rsidRPr="00B10917">
        <w:rPr>
          <w:b/>
          <w:i/>
          <w:sz w:val="26"/>
          <w:szCs w:val="26"/>
        </w:rPr>
        <w:t>источников финансирования дефицита бюджета</w:t>
      </w:r>
      <w:r w:rsidRPr="00B10917">
        <w:rPr>
          <w:sz w:val="26"/>
          <w:szCs w:val="26"/>
        </w:rPr>
        <w:t xml:space="preserve"> города </w:t>
      </w:r>
      <w:r>
        <w:rPr>
          <w:sz w:val="26"/>
          <w:szCs w:val="26"/>
        </w:rPr>
        <w:t xml:space="preserve">в 1 полугодии 2013 года </w:t>
      </w:r>
      <w:r w:rsidRPr="00B10917">
        <w:rPr>
          <w:sz w:val="26"/>
          <w:szCs w:val="26"/>
        </w:rPr>
        <w:t>привлечены кредиты от кредитных организаций в объеме 1 057,0 млн рублей, что составило 89,4% от утвержденного в бюджете, средства бюджетных и автономных учреждений в объеме 70,3 млн рублей. За счет источников погашено 200,0 млн рублей заемных средств</w:t>
      </w:r>
      <w:r>
        <w:rPr>
          <w:sz w:val="26"/>
          <w:szCs w:val="26"/>
        </w:rPr>
        <w:t>, увеличен остаток средств на едином счете бюджета на 22,9 млн рублей</w:t>
      </w:r>
      <w:r w:rsidRPr="00B10917">
        <w:rPr>
          <w:sz w:val="26"/>
          <w:szCs w:val="26"/>
        </w:rPr>
        <w:t>.</w:t>
      </w:r>
    </w:p>
    <w:p w:rsidR="00C75094" w:rsidRPr="00B10917" w:rsidRDefault="00C75094" w:rsidP="00C75094">
      <w:pPr>
        <w:autoSpaceDE w:val="0"/>
        <w:autoSpaceDN w:val="0"/>
        <w:adjustRightInd w:val="0"/>
        <w:spacing w:line="360" w:lineRule="auto"/>
        <w:ind w:firstLine="539"/>
        <w:jc w:val="both"/>
        <w:rPr>
          <w:sz w:val="26"/>
          <w:szCs w:val="26"/>
        </w:rPr>
      </w:pPr>
      <w:r w:rsidRPr="00B10917">
        <w:rPr>
          <w:sz w:val="26"/>
          <w:szCs w:val="26"/>
        </w:rPr>
        <w:t>Остаток средств на счете на 01.07.2013 составил 49,7 млн рублей.</w:t>
      </w:r>
    </w:p>
    <w:p w:rsidR="00C75094" w:rsidRPr="00B10917" w:rsidRDefault="00C75094" w:rsidP="00C75094">
      <w:pPr>
        <w:spacing w:line="360" w:lineRule="auto"/>
        <w:ind w:firstLine="709"/>
        <w:jc w:val="both"/>
        <w:rPr>
          <w:sz w:val="26"/>
          <w:szCs w:val="26"/>
        </w:rPr>
      </w:pPr>
      <w:r w:rsidRPr="00B10917">
        <w:rPr>
          <w:b/>
          <w:i/>
          <w:sz w:val="26"/>
          <w:szCs w:val="26"/>
        </w:rPr>
        <w:t>Муниципальный долг</w:t>
      </w:r>
      <w:r w:rsidRPr="00B10917">
        <w:rPr>
          <w:sz w:val="26"/>
          <w:szCs w:val="26"/>
        </w:rPr>
        <w:t xml:space="preserve"> за 1 полугодие 2013 года увеличился в 2 раза и по состоянию на 01.07.2013 составил 2 272,8 млн рублей. Муниципальный долг состоит из задолженности по кредитам от кредитных организаций в сумме 1 450,0 млн рублей, которая увеличилась за 1 полугодие на 857,0 млн рублей, и обязательств по муниципальным гарантиям в объеме 822,8 млн рублей, увеличил</w:t>
      </w:r>
      <w:r>
        <w:rPr>
          <w:sz w:val="26"/>
          <w:szCs w:val="26"/>
        </w:rPr>
        <w:t>и</w:t>
      </w:r>
      <w:r w:rsidRPr="00B10917">
        <w:rPr>
          <w:sz w:val="26"/>
          <w:szCs w:val="26"/>
        </w:rPr>
        <w:t>сь на 306,5 млн рублей.</w:t>
      </w:r>
    </w:p>
    <w:p w:rsidR="00C75094" w:rsidRDefault="00C75094" w:rsidP="00C75094">
      <w:pPr>
        <w:spacing w:line="360" w:lineRule="auto"/>
        <w:ind w:firstLine="709"/>
        <w:jc w:val="both"/>
        <w:rPr>
          <w:sz w:val="26"/>
          <w:szCs w:val="26"/>
        </w:rPr>
      </w:pPr>
      <w:r w:rsidRPr="00B10917">
        <w:rPr>
          <w:sz w:val="26"/>
          <w:szCs w:val="26"/>
        </w:rPr>
        <w:t>Кроме того</w:t>
      </w:r>
      <w:r w:rsidRPr="00B10917">
        <w:rPr>
          <w:b/>
          <w:i/>
          <w:sz w:val="26"/>
          <w:szCs w:val="26"/>
        </w:rPr>
        <w:t xml:space="preserve">, кредиторская задолженность </w:t>
      </w:r>
      <w:r w:rsidRPr="00B10917">
        <w:rPr>
          <w:sz w:val="26"/>
          <w:szCs w:val="26"/>
        </w:rPr>
        <w:t xml:space="preserve">(без учета муниципальных долговых обязательств) по состоянию на 01.07.2013 составила </w:t>
      </w:r>
      <w:r w:rsidRPr="00B10917">
        <w:rPr>
          <w:b/>
          <w:i/>
          <w:sz w:val="26"/>
          <w:szCs w:val="26"/>
        </w:rPr>
        <w:t>276,0</w:t>
      </w:r>
      <w:r w:rsidRPr="00B10917">
        <w:rPr>
          <w:sz w:val="26"/>
          <w:szCs w:val="26"/>
        </w:rPr>
        <w:t xml:space="preserve"> млн рублей, уменьшилась по сравнению с началом года в целом на 273,3 млн рублей, или в 2 раза (в том числе за 2 квартал – на 71,9 млн рублей). Просроченной кредиторской задолженности нет. Основную долю составляют долги по капитальному строительству и жилищно-коммунальному хозяйству, которые хотя и уменьшились </w:t>
      </w:r>
      <w:r w:rsidRPr="00B10917">
        <w:rPr>
          <w:sz w:val="26"/>
          <w:szCs w:val="26"/>
        </w:rPr>
        <w:lastRenderedPageBreak/>
        <w:t xml:space="preserve">за полугодие на 293,7 млн рублей (в 2,2 раза), но все еще имеют значительный объем 245,7 млн рублей, из них 152,3 млн рублей по благоустройству города. </w:t>
      </w:r>
    </w:p>
    <w:p w:rsidR="00C75094" w:rsidRPr="00B10917" w:rsidRDefault="00C75094" w:rsidP="00C75094">
      <w:pPr>
        <w:spacing w:line="360" w:lineRule="auto"/>
        <w:ind w:firstLine="709"/>
        <w:jc w:val="both"/>
        <w:rPr>
          <w:sz w:val="26"/>
          <w:szCs w:val="26"/>
        </w:rPr>
      </w:pPr>
      <w:r w:rsidRPr="00B10917">
        <w:rPr>
          <w:b/>
          <w:i/>
          <w:sz w:val="26"/>
          <w:szCs w:val="26"/>
        </w:rPr>
        <w:t>Дебиторская задолженность</w:t>
      </w:r>
      <w:r w:rsidRPr="00B10917">
        <w:rPr>
          <w:sz w:val="26"/>
          <w:szCs w:val="26"/>
        </w:rPr>
        <w:t xml:space="preserve"> составила 141,8 млн рублей, увеличилась с начала года на 124,1 млн рублей, в 8 раз, в том числе за 2 квартал на 63,8 млн рублей, в основном за счет безвозмездных и безвозвратных перечислений подведомственным учреждениям главными распорядителями (Управление образования 68,2 млн рублей, Управление физической культуры и массового спорта 44,5 млн рублей). </w:t>
      </w:r>
    </w:p>
    <w:p w:rsidR="0037699C" w:rsidRDefault="00C75094" w:rsidP="00BB3864">
      <w:pPr>
        <w:spacing w:line="360" w:lineRule="auto"/>
        <w:ind w:firstLine="709"/>
        <w:jc w:val="both"/>
      </w:pPr>
      <w:r>
        <w:rPr>
          <w:sz w:val="26"/>
          <w:szCs w:val="26"/>
        </w:rPr>
        <w:t>Информация о ходе исполнения бюджета города за 1 полугодие 2013 года направлена Главе города с предложениями по устранению технических и арифметических ошибок в отчетах об исполнении бюджета за 1 квартал и 1полугодие 2013 года,</w:t>
      </w:r>
      <w:r w:rsidRPr="002003AF">
        <w:rPr>
          <w:sz w:val="26"/>
          <w:szCs w:val="26"/>
        </w:rPr>
        <w:t xml:space="preserve"> </w:t>
      </w:r>
      <w:r>
        <w:rPr>
          <w:sz w:val="26"/>
          <w:szCs w:val="26"/>
        </w:rPr>
        <w:t xml:space="preserve">по </w:t>
      </w:r>
      <w:r w:rsidRPr="002003AF">
        <w:rPr>
          <w:sz w:val="26"/>
          <w:szCs w:val="26"/>
        </w:rPr>
        <w:t>усил</w:t>
      </w:r>
      <w:r>
        <w:rPr>
          <w:sz w:val="26"/>
          <w:szCs w:val="26"/>
        </w:rPr>
        <w:t>ению работы</w:t>
      </w:r>
      <w:r w:rsidRPr="002003AF">
        <w:rPr>
          <w:sz w:val="26"/>
          <w:szCs w:val="26"/>
        </w:rPr>
        <w:t xml:space="preserve"> по исполнению доходной части бюджета, прове</w:t>
      </w:r>
      <w:r>
        <w:rPr>
          <w:sz w:val="26"/>
          <w:szCs w:val="26"/>
        </w:rPr>
        <w:t>дению</w:t>
      </w:r>
      <w:r w:rsidRPr="002003AF">
        <w:rPr>
          <w:sz w:val="26"/>
          <w:szCs w:val="26"/>
        </w:rPr>
        <w:t xml:space="preserve"> комплекс</w:t>
      </w:r>
      <w:r>
        <w:rPr>
          <w:sz w:val="26"/>
          <w:szCs w:val="26"/>
        </w:rPr>
        <w:t>а</w:t>
      </w:r>
      <w:r w:rsidRPr="002003AF">
        <w:rPr>
          <w:sz w:val="26"/>
          <w:szCs w:val="26"/>
        </w:rPr>
        <w:t xml:space="preserve"> мероприятий по оптимизации расходов, ведени</w:t>
      </w:r>
      <w:r>
        <w:rPr>
          <w:sz w:val="26"/>
          <w:szCs w:val="26"/>
        </w:rPr>
        <w:t>ю</w:t>
      </w:r>
      <w:r w:rsidRPr="002003AF">
        <w:rPr>
          <w:sz w:val="26"/>
          <w:szCs w:val="26"/>
        </w:rPr>
        <w:t xml:space="preserve"> разумной долговой политики</w:t>
      </w:r>
      <w:r>
        <w:rPr>
          <w:sz w:val="26"/>
          <w:szCs w:val="26"/>
        </w:rPr>
        <w:t>.</w:t>
      </w:r>
      <w:bookmarkStart w:id="0" w:name="_GoBack"/>
      <w:bookmarkEnd w:id="0"/>
    </w:p>
    <w:sectPr w:rsidR="003769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094" w:rsidRDefault="00C75094" w:rsidP="00C75094">
      <w:r>
        <w:separator/>
      </w:r>
    </w:p>
  </w:endnote>
  <w:endnote w:type="continuationSeparator" w:id="0">
    <w:p w:rsidR="00C75094" w:rsidRDefault="00C75094" w:rsidP="00C7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094" w:rsidRDefault="00C75094" w:rsidP="00C75094">
      <w:r>
        <w:separator/>
      </w:r>
    </w:p>
  </w:footnote>
  <w:footnote w:type="continuationSeparator" w:id="0">
    <w:p w:rsidR="00C75094" w:rsidRDefault="00C75094" w:rsidP="00C75094">
      <w:r>
        <w:continuationSeparator/>
      </w:r>
    </w:p>
  </w:footnote>
  <w:footnote w:id="1">
    <w:p w:rsidR="00C75094" w:rsidRDefault="00C75094" w:rsidP="00C75094">
      <w:pPr>
        <w:pStyle w:val="a3"/>
      </w:pPr>
      <w:r>
        <w:rPr>
          <w:rStyle w:val="a5"/>
        </w:rPr>
        <w:footnoteRef/>
      </w:r>
      <w:r>
        <w:t xml:space="preserve"> По данным экспресс-информации от 19.07.2013 №03-95 Территориального органа Федеральной службы государственной статистики по Вологодской области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094"/>
    <w:rsid w:val="00016F88"/>
    <w:rsid w:val="00017730"/>
    <w:rsid w:val="00032C5D"/>
    <w:rsid w:val="0004488A"/>
    <w:rsid w:val="00052ECB"/>
    <w:rsid w:val="000715BB"/>
    <w:rsid w:val="0009428C"/>
    <w:rsid w:val="00096BBC"/>
    <w:rsid w:val="000C20C7"/>
    <w:rsid w:val="000C7601"/>
    <w:rsid w:val="000D09D6"/>
    <w:rsid w:val="000E2BA0"/>
    <w:rsid w:val="000E5336"/>
    <w:rsid w:val="000F0CEA"/>
    <w:rsid w:val="001058F0"/>
    <w:rsid w:val="00125A06"/>
    <w:rsid w:val="00137D35"/>
    <w:rsid w:val="00142909"/>
    <w:rsid w:val="00163366"/>
    <w:rsid w:val="0017223B"/>
    <w:rsid w:val="001E6A7F"/>
    <w:rsid w:val="001F111C"/>
    <w:rsid w:val="00205B1A"/>
    <w:rsid w:val="00212FDA"/>
    <w:rsid w:val="002572C6"/>
    <w:rsid w:val="002B6256"/>
    <w:rsid w:val="002C7F67"/>
    <w:rsid w:val="002D015C"/>
    <w:rsid w:val="002D278E"/>
    <w:rsid w:val="002F4CAB"/>
    <w:rsid w:val="002F5DEC"/>
    <w:rsid w:val="00323501"/>
    <w:rsid w:val="00326648"/>
    <w:rsid w:val="00330449"/>
    <w:rsid w:val="0034602A"/>
    <w:rsid w:val="00367AA1"/>
    <w:rsid w:val="0037699C"/>
    <w:rsid w:val="0038614E"/>
    <w:rsid w:val="003B4432"/>
    <w:rsid w:val="003C0CEA"/>
    <w:rsid w:val="003C2D79"/>
    <w:rsid w:val="003E4865"/>
    <w:rsid w:val="003E518A"/>
    <w:rsid w:val="003F5718"/>
    <w:rsid w:val="004063DC"/>
    <w:rsid w:val="00425B59"/>
    <w:rsid w:val="00447864"/>
    <w:rsid w:val="00460079"/>
    <w:rsid w:val="00466F6F"/>
    <w:rsid w:val="00484AC8"/>
    <w:rsid w:val="00491B66"/>
    <w:rsid w:val="004C46AD"/>
    <w:rsid w:val="004E5815"/>
    <w:rsid w:val="005270B3"/>
    <w:rsid w:val="00545AB9"/>
    <w:rsid w:val="005523A5"/>
    <w:rsid w:val="005B6032"/>
    <w:rsid w:val="005E2C67"/>
    <w:rsid w:val="005E2E55"/>
    <w:rsid w:val="005F2173"/>
    <w:rsid w:val="00607139"/>
    <w:rsid w:val="006258AD"/>
    <w:rsid w:val="00631186"/>
    <w:rsid w:val="00634D7D"/>
    <w:rsid w:val="006360D2"/>
    <w:rsid w:val="00640C66"/>
    <w:rsid w:val="00641CB6"/>
    <w:rsid w:val="00666A58"/>
    <w:rsid w:val="00667750"/>
    <w:rsid w:val="00691EFC"/>
    <w:rsid w:val="006E7688"/>
    <w:rsid w:val="006F156D"/>
    <w:rsid w:val="006F42D6"/>
    <w:rsid w:val="006F5F01"/>
    <w:rsid w:val="00702272"/>
    <w:rsid w:val="00705DE9"/>
    <w:rsid w:val="00727464"/>
    <w:rsid w:val="00754061"/>
    <w:rsid w:val="00767701"/>
    <w:rsid w:val="007730A0"/>
    <w:rsid w:val="007752EC"/>
    <w:rsid w:val="00791530"/>
    <w:rsid w:val="007A0236"/>
    <w:rsid w:val="007B2F5D"/>
    <w:rsid w:val="007B4133"/>
    <w:rsid w:val="007C2A46"/>
    <w:rsid w:val="007C2BAF"/>
    <w:rsid w:val="007C7B05"/>
    <w:rsid w:val="007D1AD0"/>
    <w:rsid w:val="007F4AF8"/>
    <w:rsid w:val="007F52D7"/>
    <w:rsid w:val="00804D44"/>
    <w:rsid w:val="0082650E"/>
    <w:rsid w:val="0083541E"/>
    <w:rsid w:val="00841D9F"/>
    <w:rsid w:val="00852E89"/>
    <w:rsid w:val="00863534"/>
    <w:rsid w:val="008A3269"/>
    <w:rsid w:val="008A6515"/>
    <w:rsid w:val="008B27C9"/>
    <w:rsid w:val="00903E47"/>
    <w:rsid w:val="009077A8"/>
    <w:rsid w:val="009125FB"/>
    <w:rsid w:val="009224CF"/>
    <w:rsid w:val="009326AE"/>
    <w:rsid w:val="009567D7"/>
    <w:rsid w:val="0097115F"/>
    <w:rsid w:val="009736D4"/>
    <w:rsid w:val="00997EEE"/>
    <w:rsid w:val="009B07D3"/>
    <w:rsid w:val="009B248D"/>
    <w:rsid w:val="009B4C8B"/>
    <w:rsid w:val="00A03EF8"/>
    <w:rsid w:val="00A503D7"/>
    <w:rsid w:val="00A5303D"/>
    <w:rsid w:val="00A74F7C"/>
    <w:rsid w:val="00A76B4A"/>
    <w:rsid w:val="00A8316C"/>
    <w:rsid w:val="00A95B86"/>
    <w:rsid w:val="00AA1A3D"/>
    <w:rsid w:val="00AB35A6"/>
    <w:rsid w:val="00AE2A8D"/>
    <w:rsid w:val="00AF622B"/>
    <w:rsid w:val="00B16C16"/>
    <w:rsid w:val="00B219D7"/>
    <w:rsid w:val="00B64B76"/>
    <w:rsid w:val="00B97BD6"/>
    <w:rsid w:val="00BA2532"/>
    <w:rsid w:val="00BB3864"/>
    <w:rsid w:val="00BB408F"/>
    <w:rsid w:val="00BC175A"/>
    <w:rsid w:val="00BD292A"/>
    <w:rsid w:val="00BF365C"/>
    <w:rsid w:val="00C15C48"/>
    <w:rsid w:val="00C21A54"/>
    <w:rsid w:val="00C2715B"/>
    <w:rsid w:val="00C34CF3"/>
    <w:rsid w:val="00C37C2E"/>
    <w:rsid w:val="00C619A6"/>
    <w:rsid w:val="00C7289A"/>
    <w:rsid w:val="00C75094"/>
    <w:rsid w:val="00CB6927"/>
    <w:rsid w:val="00CC4C8F"/>
    <w:rsid w:val="00CE4417"/>
    <w:rsid w:val="00CF550D"/>
    <w:rsid w:val="00D07044"/>
    <w:rsid w:val="00D409BA"/>
    <w:rsid w:val="00D61371"/>
    <w:rsid w:val="00D82BB5"/>
    <w:rsid w:val="00D913E5"/>
    <w:rsid w:val="00D93B8D"/>
    <w:rsid w:val="00DB37ED"/>
    <w:rsid w:val="00DE79A9"/>
    <w:rsid w:val="00E005B5"/>
    <w:rsid w:val="00E55A53"/>
    <w:rsid w:val="00E664CA"/>
    <w:rsid w:val="00E73033"/>
    <w:rsid w:val="00E73DD9"/>
    <w:rsid w:val="00EE2BCB"/>
    <w:rsid w:val="00F04E11"/>
    <w:rsid w:val="00F05DED"/>
    <w:rsid w:val="00F6065F"/>
    <w:rsid w:val="00F733F1"/>
    <w:rsid w:val="00FA2D83"/>
    <w:rsid w:val="00FA601D"/>
    <w:rsid w:val="00FA7F3E"/>
    <w:rsid w:val="00FB77B6"/>
    <w:rsid w:val="00FC4CB3"/>
    <w:rsid w:val="00FC739D"/>
    <w:rsid w:val="00FF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0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75094"/>
    <w:rPr>
      <w:sz w:val="20"/>
      <w:szCs w:val="20"/>
    </w:rPr>
  </w:style>
  <w:style w:type="character" w:customStyle="1" w:styleId="a4">
    <w:name w:val="Текст сноски Знак"/>
    <w:basedOn w:val="a0"/>
    <w:link w:val="a3"/>
    <w:uiPriority w:val="99"/>
    <w:semiHidden/>
    <w:rsid w:val="00C75094"/>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C750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0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75094"/>
    <w:rPr>
      <w:sz w:val="20"/>
      <w:szCs w:val="20"/>
    </w:rPr>
  </w:style>
  <w:style w:type="character" w:customStyle="1" w:styleId="a4">
    <w:name w:val="Текст сноски Знак"/>
    <w:basedOn w:val="a0"/>
    <w:link w:val="a3"/>
    <w:uiPriority w:val="99"/>
    <w:semiHidden/>
    <w:rsid w:val="00C75094"/>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C750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B89CE26C9D35708FDBA4C682FF43B313BA9CF4547A3713880884931F79166A4EB36EF7E48392E245A953DCC6L" TargetMode="External"/><Relationship Id="rId3" Type="http://schemas.openxmlformats.org/officeDocument/2006/relationships/settings" Target="settings.xml"/><Relationship Id="rId7" Type="http://schemas.openxmlformats.org/officeDocument/2006/relationships/hyperlink" Target="consultantplus://offline/ref=C5B89CE26C9D35708FDBA4C682FF43B313BA9CF4547A3713880884931F79166A4EB36EF7E48392E245A953DCC6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2450</Words>
  <Characters>13971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Наташа</cp:lastModifiedBy>
  <cp:revision>3</cp:revision>
  <dcterms:created xsi:type="dcterms:W3CDTF">2014-01-20T06:15:00Z</dcterms:created>
  <dcterms:modified xsi:type="dcterms:W3CDTF">2014-01-21T06:13:00Z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